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b/>
          <w:sz w:val="36"/>
          <w:szCs w:val="36"/>
          <w:highlight w:val="none"/>
        </w:rPr>
      </w:pPr>
      <w:r>
        <w:rPr>
          <w:rFonts w:hint="eastAsia"/>
          <w:b/>
          <w:sz w:val="36"/>
          <w:szCs w:val="36"/>
          <w:highlight w:val="none"/>
        </w:rPr>
        <w:t>北京市智慧水务发展研究院2026年政务云租用费</w:t>
      </w:r>
    </w:p>
    <w:p>
      <w:pPr>
        <w:spacing w:line="360" w:lineRule="auto"/>
        <w:jc w:val="center"/>
        <w:outlineLvl w:val="0"/>
        <w:rPr>
          <w:b/>
          <w:sz w:val="36"/>
          <w:szCs w:val="36"/>
          <w:highlight w:val="none"/>
        </w:rPr>
      </w:pPr>
      <w:bookmarkStart w:id="3" w:name="_GoBack"/>
      <w:bookmarkEnd w:id="3"/>
      <w:r>
        <w:rPr>
          <w:rFonts w:hint="eastAsia"/>
          <w:b/>
          <w:sz w:val="36"/>
          <w:szCs w:val="36"/>
          <w:highlight w:val="none"/>
        </w:rPr>
        <w:t>采购项目</w:t>
      </w:r>
      <w:r>
        <w:rPr>
          <w:b/>
          <w:sz w:val="36"/>
          <w:szCs w:val="36"/>
          <w:highlight w:val="none"/>
        </w:rPr>
        <w:t>采购需求</w:t>
      </w:r>
    </w:p>
    <w:p>
      <w:pPr>
        <w:spacing w:line="360" w:lineRule="auto"/>
        <w:contextualSpacing/>
        <w:rPr>
          <w:sz w:val="24"/>
          <w:highlight w:val="none"/>
        </w:rPr>
      </w:pPr>
      <w:r>
        <w:rPr>
          <w:rFonts w:hint="default" w:ascii="宋体" w:hAnsi="宋体" w:eastAsia="宋体" w:cs="宋体"/>
          <w:b/>
          <w:bCs/>
          <w:color w:val="auto"/>
          <w:sz w:val="24"/>
          <w:szCs w:val="24"/>
          <w:highlight w:val="none"/>
          <w:lang w:val="en-US"/>
        </w:rPr>
        <w:t>说明：采购需求中标注★号指标为实质性要求，实质性要求任一项不满足的将被作为无效投标否决。★号标注在序号前，指本序号所有内容均为实质性要求；★号标注在段落前，指仅本段落内容为实质性要求。</w:t>
      </w:r>
    </w:p>
    <w:p>
      <w:pPr>
        <w:pStyle w:val="6"/>
        <w:numPr>
          <w:ilvl w:val="0"/>
          <w:numId w:val="1"/>
        </w:numPr>
        <w:spacing w:line="360" w:lineRule="auto"/>
        <w:ind w:firstLineChars="0"/>
        <w:contextualSpacing/>
        <w:outlineLvl w:val="0"/>
        <w:rPr>
          <w:rFonts w:ascii="Times New Roman" w:hAnsi="Times New Roman"/>
          <w:b/>
          <w:sz w:val="24"/>
          <w:szCs w:val="24"/>
          <w:highlight w:val="none"/>
        </w:rPr>
      </w:pPr>
      <w:r>
        <w:rPr>
          <w:rFonts w:hint="eastAsia" w:ascii="Times New Roman" w:hAnsi="Times New Roman"/>
          <w:b/>
          <w:sz w:val="24"/>
          <w:szCs w:val="24"/>
          <w:highlight w:val="none"/>
        </w:rPr>
        <w:t>采购的标的</w:t>
      </w:r>
    </w:p>
    <w:p>
      <w:pPr>
        <w:numPr>
          <w:ilvl w:val="0"/>
          <w:numId w:val="2"/>
        </w:numPr>
        <w:spacing w:line="360" w:lineRule="auto"/>
        <w:contextualSpacing/>
        <w:outlineLvl w:val="1"/>
        <w:rPr>
          <w:rFonts w:ascii="宋体" w:hAnsi="宋体" w:cs="宋体"/>
          <w:sz w:val="24"/>
          <w:highlight w:val="none"/>
        </w:rPr>
      </w:pPr>
      <w:r>
        <w:rPr>
          <w:rFonts w:hint="eastAsia"/>
          <w:b/>
          <w:sz w:val="24"/>
          <w:highlight w:val="none"/>
        </w:rPr>
        <w:t>采购标的：</w:t>
      </w:r>
      <w:r>
        <w:rPr>
          <w:rFonts w:hint="eastAsia" w:ascii="宋体" w:hAnsi="宋体" w:cs="宋体"/>
          <w:sz w:val="24"/>
          <w:highlight w:val="none"/>
        </w:rPr>
        <w:t>北京市智慧水务发展研究院2026年政务云租用费采购项目</w:t>
      </w:r>
    </w:p>
    <w:tbl>
      <w:tblPr>
        <w:tblStyle w:val="4"/>
        <w:tblW w:w="8701" w:type="dxa"/>
        <w:tblInd w:w="0" w:type="dxa"/>
        <w:tblLayout w:type="fixed"/>
        <w:tblCellMar>
          <w:top w:w="0" w:type="dxa"/>
          <w:left w:w="108" w:type="dxa"/>
          <w:bottom w:w="0" w:type="dxa"/>
          <w:right w:w="108" w:type="dxa"/>
        </w:tblCellMar>
      </w:tblPr>
      <w:tblGrid>
        <w:gridCol w:w="1748"/>
        <w:gridCol w:w="3516"/>
        <w:gridCol w:w="807"/>
        <w:gridCol w:w="845"/>
        <w:gridCol w:w="906"/>
        <w:gridCol w:w="879"/>
      </w:tblGrid>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bookmarkStart w:id="0" w:name="_Toc8845"/>
            <w:r>
              <w:rPr>
                <w:rFonts w:hint="eastAsia"/>
                <w:highlight w:val="none"/>
              </w:rPr>
              <w:t>服务子类</w:t>
            </w:r>
          </w:p>
        </w:tc>
        <w:tc>
          <w:tcPr>
            <w:tcW w:w="351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r>
              <w:rPr>
                <w:rFonts w:hint="eastAsia"/>
                <w:highlight w:val="none"/>
              </w:rPr>
              <w:t>服务项</w:t>
            </w:r>
          </w:p>
        </w:tc>
        <w:tc>
          <w:tcPr>
            <w:tcW w:w="80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r>
              <w:rPr>
                <w:rFonts w:hint="eastAsia"/>
                <w:highlight w:val="none"/>
              </w:rPr>
              <w:t>计价单位</w:t>
            </w:r>
          </w:p>
        </w:tc>
        <w:tc>
          <w:tcPr>
            <w:tcW w:w="845"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r>
              <w:rPr>
                <w:rFonts w:hint="eastAsia"/>
                <w:highlight w:val="none"/>
              </w:rPr>
              <w:t>报价单位</w:t>
            </w:r>
          </w:p>
        </w:tc>
        <w:tc>
          <w:tcPr>
            <w:tcW w:w="906"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r>
              <w:rPr>
                <w:rFonts w:hint="eastAsia"/>
                <w:highlight w:val="none"/>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rPr>
                <w:highlight w:val="none"/>
              </w:rPr>
            </w:pPr>
            <w:r>
              <w:rPr>
                <w:rFonts w:hint="eastAsia"/>
                <w:highlight w:val="none"/>
              </w:rPr>
              <w:t>服务期（月）</w:t>
            </w:r>
          </w:p>
        </w:tc>
      </w:tr>
      <w:tr>
        <w:tblPrEx>
          <w:tblLayout w:type="fixed"/>
          <w:tblCellMar>
            <w:top w:w="0" w:type="dxa"/>
            <w:left w:w="108" w:type="dxa"/>
            <w:bottom w:w="0" w:type="dxa"/>
            <w:right w:w="108" w:type="dxa"/>
          </w:tblCellMar>
        </w:tblPrEx>
        <w:trPr>
          <w:trHeight w:val="23" w:hRule="atLeast"/>
        </w:trPr>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平台云主机服务（包含X86、ARM、C86）</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vCPU（主频不低于2.4GHz，平均虚拟化率，即物理CPU/虚拟CPU≥1/4，虚拟CPU利用率不低于物理CPU的25% ）</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1vCPU</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3780</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内存</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10058</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物理服务器租用服务（包含X86、ARM、C86）</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配置1：双路每CPU核数≥32核，主频≥2.0GHz，128G内存，2块600GSAS硕盘，2个HBA卡，2个万兆端口</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1台</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8</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物理服务器增配服务（包含X86、ARM、C86）</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内存-32GB内存</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1条</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32</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硬盘配置1-480GB SSD</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16</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GPU卡算力服务（适配X86、ARM、C86）</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GPU显存（需同时租用算力资源、云主机或物理服务器资源，联合使用）</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112</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普通性能存储</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普通存储（单盘技术指标: 单盘IOPS 2000-5000）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100GB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2075.9</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高性能存储</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高性能存储（单盘技术指标：单盘IOPS 10000-25000）</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100GB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859.8</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静态存储</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提供大容量、高可靠的数据存储服务，具备PB级线性扩展能力</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1TB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83</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本地备份服务</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本地备份服务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100GB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830</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vMerge w:val="restart"/>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互联网链路服务</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互联网链路带宽</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1Mb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200</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互联网IP地址租用服务、并提供备案服务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1IP</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51</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主机负载均衡服务</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主机负载均衡服务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1IP(内网)</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20</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远程接入服务</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远程接入服务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1账号</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26</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Web 应用防火墙（WAF）</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针对网站及Web应用系统提供应用层安全防护，支持各类 SQL注入、XSS 攻击、网页木马、WEBSHELL等Web威胁防护（200Mbps）</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8</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对象存储</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为视频监控系统提供对象存储空间，提供标准S3接口</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1GB</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160000</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tr>
        <w:tblPrEx>
          <w:tblLayout w:type="fixed"/>
          <w:tblCellMar>
            <w:top w:w="0" w:type="dxa"/>
            <w:left w:w="108" w:type="dxa"/>
            <w:bottom w:w="0" w:type="dxa"/>
            <w:right w:w="108" w:type="dxa"/>
          </w:tblCellMar>
        </w:tblPrEx>
        <w:trPr>
          <w:trHeight w:val="23" w:hRule="atLeast"/>
        </w:trPr>
        <w:tc>
          <w:tcPr>
            <w:tcW w:w="1748"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商用操作系统套餐</w:t>
            </w:r>
          </w:p>
        </w:tc>
        <w:tc>
          <w:tcPr>
            <w:tcW w:w="351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Windows Server、及国产Linux操作系统租用、安装及维护。</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1套</w:t>
            </w:r>
          </w:p>
        </w:tc>
        <w:tc>
          <w:tcPr>
            <w:tcW w:w="845"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元/月</w:t>
            </w:r>
          </w:p>
        </w:tc>
        <w:tc>
          <w:tcPr>
            <w:tcW w:w="906"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 xml:space="preserve">97 </w:t>
            </w:r>
          </w:p>
        </w:tc>
        <w:tc>
          <w:tcPr>
            <w:tcW w:w="879" w:type="dxa"/>
            <w:tcBorders>
              <w:top w:val="single" w:color="000000" w:sz="4" w:space="0"/>
              <w:left w:val="single" w:color="000000" w:sz="4" w:space="0"/>
              <w:bottom w:val="single" w:color="000000" w:sz="4" w:space="0"/>
              <w:right w:val="single" w:color="000000" w:sz="4" w:space="0"/>
            </w:tcBorders>
            <w:noWrap/>
            <w:vAlign w:val="center"/>
          </w:tcPr>
          <w:p>
            <w:pPr>
              <w:rPr>
                <w:highlight w:val="none"/>
              </w:rPr>
            </w:pPr>
            <w:r>
              <w:rPr>
                <w:rFonts w:hint="eastAsia"/>
                <w:highlight w:val="none"/>
              </w:rPr>
              <w:t>12</w:t>
            </w:r>
          </w:p>
        </w:tc>
      </w:tr>
      <w:bookmarkEnd w:id="0"/>
    </w:tbl>
    <w:p>
      <w:pPr>
        <w:spacing w:line="360" w:lineRule="auto"/>
        <w:contextualSpacing/>
        <w:outlineLvl w:val="1"/>
        <w:rPr>
          <w:b/>
          <w:sz w:val="24"/>
          <w:highlight w:val="none"/>
        </w:rPr>
      </w:pPr>
      <w:r>
        <w:rPr>
          <w:rFonts w:hint="eastAsia"/>
          <w:b/>
          <w:sz w:val="24"/>
          <w:highlight w:val="none"/>
        </w:rPr>
        <w:t>（二）项目背景</w:t>
      </w:r>
    </w:p>
    <w:p>
      <w:pPr>
        <w:pStyle w:val="6"/>
        <w:spacing w:line="360" w:lineRule="auto"/>
        <w:ind w:firstLine="480" w:firstLineChars="0"/>
        <w:contextualSpacing/>
        <w:rPr>
          <w:rFonts w:hint="eastAsia" w:ascii="宋体" w:hAnsi="宋体" w:cs="宋体"/>
          <w:sz w:val="24"/>
          <w:highlight w:val="none"/>
        </w:rPr>
      </w:pPr>
      <w:r>
        <w:rPr>
          <w:rFonts w:hint="eastAsia" w:ascii="宋体" w:hAnsi="宋体" w:cs="宋体"/>
          <w:bCs/>
          <w:sz w:val="24"/>
          <w:szCs w:val="24"/>
          <w:highlight w:val="none"/>
        </w:rPr>
        <w:t>为贯彻落实北京市经济和信息化局关于印发《北京市市级政务云管理办法的通知》（京经信委函（2019）150号）文件的要求，我局现有信息系统北京市水旱灾害防御综合指挥平台、水务综合信息平台及OA系统、智慧水务1.0基础底座（一期）、水务工程安全质量生态一巡三查管理系统、北京市河长制管理信息系统、北京市水务局外网网站、“取供用排”协同监管应用（一期）已部署至市级政务云。</w:t>
      </w:r>
      <w:bookmarkStart w:id="1" w:name="_Toc172656512"/>
      <w:r>
        <w:rPr>
          <w:rFonts w:hint="eastAsia" w:ascii="宋体" w:hAnsi="宋体" w:cs="宋体"/>
          <w:bCs/>
          <w:sz w:val="24"/>
          <w:szCs w:val="24"/>
          <w:highlight w:val="none"/>
        </w:rPr>
        <w:t>为有效保障市水务局业务系统的稳定运行，充分发挥政务云弹性伸缩、服务灵活的优势，市水务局继续租用北京市级政务云服务，为入云业务系统提供动态灵活、安全可靠的政务云服务保障</w:t>
      </w:r>
      <w:bookmarkEnd w:id="1"/>
      <w:r>
        <w:rPr>
          <w:rFonts w:hint="eastAsia" w:ascii="宋体" w:hAnsi="宋体" w:cs="宋体"/>
          <w:sz w:val="24"/>
          <w:highlight w:val="none"/>
        </w:rPr>
        <w:t>。</w:t>
      </w:r>
    </w:p>
    <w:p>
      <w:pPr>
        <w:pStyle w:val="6"/>
        <w:numPr>
          <w:ilvl w:val="0"/>
          <w:numId w:val="0"/>
        </w:numPr>
        <w:spacing w:line="360" w:lineRule="auto"/>
        <w:ind w:firstLine="0" w:firstLineChars="0"/>
        <w:contextualSpacing/>
        <w:rPr>
          <w:rFonts w:hint="eastAsia" w:ascii="宋体" w:hAnsi="宋体" w:cs="宋体"/>
          <w:sz w:val="24"/>
          <w:highlight w:val="none"/>
          <w:lang w:eastAsia="zh-CN"/>
        </w:rPr>
      </w:pPr>
      <w:r>
        <w:rPr>
          <w:rFonts w:hint="default" w:ascii="宋体" w:hAnsi="宋体" w:eastAsia="宋体" w:cs="宋体"/>
          <w:b/>
          <w:bCs/>
          <w:color w:val="auto"/>
          <w:sz w:val="24"/>
          <w:szCs w:val="24"/>
          <w:highlight w:val="none"/>
          <w:lang w:val="en-US"/>
        </w:rPr>
        <w:t>★</w:t>
      </w:r>
      <w:r>
        <w:rPr>
          <w:rFonts w:hint="eastAsia" w:ascii="宋体" w:hAnsi="宋体" w:cs="宋体"/>
          <w:sz w:val="24"/>
          <w:highlight w:val="none"/>
          <w:lang w:eastAsia="zh-CN"/>
        </w:rPr>
        <w:t>（三）品目限价</w:t>
      </w:r>
    </w:p>
    <w:p>
      <w:pPr>
        <w:pStyle w:val="6"/>
        <w:numPr>
          <w:ilvl w:val="0"/>
          <w:numId w:val="0"/>
        </w:numPr>
        <w:spacing w:line="360" w:lineRule="auto"/>
        <w:ind w:firstLine="480" w:firstLineChars="200"/>
        <w:contextualSpacing/>
        <w:rPr>
          <w:rFonts w:hint="eastAsia" w:ascii="宋体" w:hAnsi="宋体" w:cs="宋体"/>
          <w:sz w:val="24"/>
          <w:highlight w:val="none"/>
          <w:lang w:eastAsia="zh-CN"/>
        </w:rPr>
      </w:pPr>
      <w:r>
        <w:rPr>
          <w:rFonts w:hint="eastAsia"/>
          <w:sz w:val="24"/>
          <w:highlight w:val="none"/>
          <w:lang w:eastAsia="zh-CN"/>
        </w:rPr>
        <w:t>本项目采购标的共分为三个品目，各品目最高限价为</w:t>
      </w:r>
      <w:r>
        <w:rPr>
          <w:rFonts w:hint="eastAsia"/>
          <w:sz w:val="24"/>
          <w:highlight w:val="none"/>
        </w:rPr>
        <w:t>C16040000-云计算服务：771.4589万元；C16080300-基础设施运营服务：24.96万元；C16080100-软件运营服务：13.968万元</w:t>
      </w:r>
      <w:r>
        <w:rPr>
          <w:sz w:val="24"/>
          <w:highlight w:val="none"/>
        </w:rPr>
        <w:t>。</w:t>
      </w:r>
    </w:p>
    <w:p>
      <w:pPr>
        <w:pStyle w:val="6"/>
        <w:spacing w:line="360" w:lineRule="auto"/>
        <w:ind w:firstLine="0" w:firstLineChars="0"/>
        <w:contextualSpacing/>
        <w:outlineLvl w:val="0"/>
        <w:rPr>
          <w:rFonts w:ascii="Times New Roman" w:hAnsi="Times New Roman"/>
          <w:b/>
          <w:sz w:val="24"/>
          <w:szCs w:val="24"/>
          <w:highlight w:val="none"/>
        </w:rPr>
      </w:pPr>
      <w:r>
        <w:rPr>
          <w:rFonts w:hint="eastAsia" w:ascii="Times New Roman" w:hAnsi="Times New Roman"/>
          <w:b/>
          <w:sz w:val="24"/>
          <w:szCs w:val="24"/>
          <w:highlight w:val="none"/>
        </w:rPr>
        <w:t>二、商务要求</w:t>
      </w:r>
    </w:p>
    <w:p>
      <w:pPr>
        <w:spacing w:line="360" w:lineRule="auto"/>
        <w:contextualSpacing/>
        <w:outlineLvl w:val="1"/>
        <w:rPr>
          <w:b/>
          <w:sz w:val="24"/>
          <w:highlight w:val="none"/>
        </w:rPr>
      </w:pPr>
      <w:r>
        <w:rPr>
          <w:rFonts w:hint="eastAsia"/>
          <w:b/>
          <w:sz w:val="24"/>
          <w:highlight w:val="none"/>
        </w:rPr>
        <w:t>（一）采购标的服务时间及地点</w:t>
      </w:r>
    </w:p>
    <w:p>
      <w:pPr>
        <w:pStyle w:val="6"/>
        <w:spacing w:line="360" w:lineRule="auto"/>
        <w:ind w:firstLine="480"/>
        <w:contextualSpacing/>
        <w:rPr>
          <w:rFonts w:ascii="Times New Roman" w:hAnsi="Times New Roman"/>
          <w:b/>
          <w:sz w:val="24"/>
          <w:szCs w:val="24"/>
          <w:highlight w:val="none"/>
        </w:rPr>
      </w:pPr>
      <w:r>
        <w:rPr>
          <w:rFonts w:hint="eastAsia" w:ascii="宋体" w:hAnsi="宋体" w:cs="宋体"/>
          <w:sz w:val="24"/>
          <w:highlight w:val="none"/>
          <w:u w:val="single"/>
          <w:lang w:val="en-US" w:eastAsia="zh-CN"/>
        </w:rPr>
        <w:t>12个月</w:t>
      </w:r>
      <w:r>
        <w:rPr>
          <w:rFonts w:hint="eastAsia" w:ascii="宋体" w:hAnsi="宋体" w:cs="宋体"/>
          <w:sz w:val="24"/>
          <w:highlight w:val="none"/>
          <w:u w:val="single"/>
        </w:rPr>
        <w:t>，</w:t>
      </w:r>
      <w:r>
        <w:rPr>
          <w:rFonts w:hint="eastAsia" w:ascii="Times New Roman" w:hAnsi="Times New Roman"/>
          <w:sz w:val="24"/>
          <w:highlight w:val="none"/>
        </w:rPr>
        <w:t>在北京市履行。</w:t>
      </w:r>
    </w:p>
    <w:p>
      <w:pPr>
        <w:spacing w:line="360" w:lineRule="auto"/>
        <w:contextualSpacing/>
        <w:outlineLvl w:val="1"/>
        <w:rPr>
          <w:b/>
          <w:sz w:val="24"/>
          <w:highlight w:val="none"/>
        </w:rPr>
      </w:pPr>
      <w:r>
        <w:rPr>
          <w:rFonts w:hint="eastAsia"/>
          <w:b/>
          <w:sz w:val="24"/>
          <w:highlight w:val="none"/>
        </w:rPr>
        <w:t>（二）付款条件</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1 付款进度：</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第一次付款：合同签订生效且财政资金拨付到位后，采购人收到供应商提供合格发票后10个工作日内，采购人向供应商支付合同总价款的50%作为首付款；</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第二次付款：汛期运行维护服务结束后，供应商按要求提交标准格式汛期服务总结报告，且采购人在收到供应商合格发票后10个工作日内，采购人向供应商支付合同总价款的35%；</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第三次付款：2026年12月31日前，采购人在收到供应商合格发票后10个工作日内，支付合同总价款的15%。</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2 付款方式：转账支票或汇款方式。</w:t>
      </w:r>
    </w:p>
    <w:p>
      <w:pPr>
        <w:adjustRightInd w:val="0"/>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3 付款要求：供应商必须在采购人支付每笔款项前提供符合税法规定并符合采购人财务要求的正规合法有效的税务发票，采购人收到上述发票后10个工作日内将款项支付给供应商，否则采购人有权暂不付款，并且不承担违约责任。</w:t>
      </w:r>
    </w:p>
    <w:p>
      <w:pPr>
        <w:adjustRightInd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 如采购人未收到财政资金而导致逾期向供应商付款的，则采购人不承担逾期付款的责任。在实际支付时，如遇财政部门国库结账等特殊情况，具体支付将根据财政部门有关要求调整执行，由此造成的支付迟延，采购人不承担任何责任。</w:t>
      </w:r>
    </w:p>
    <w:p>
      <w:pPr>
        <w:pStyle w:val="2"/>
        <w:numPr>
          <w:ilvl w:val="0"/>
          <w:numId w:val="0"/>
        </w:numPr>
        <w:spacing w:line="360" w:lineRule="auto"/>
        <w:rPr>
          <w:rFonts w:hint="eastAsia" w:hAnsi="宋体" w:cs="宋体"/>
          <w:bCs/>
          <w:sz w:val="24"/>
          <w:highlight w:val="none"/>
          <w:lang w:eastAsia="zh-CN"/>
        </w:rPr>
      </w:pPr>
      <w:r>
        <w:rPr>
          <w:rFonts w:hint="default" w:ascii="宋体" w:hAnsi="宋体" w:eastAsia="宋体" w:cs="宋体"/>
          <w:b/>
          <w:bCs/>
          <w:color w:val="auto"/>
          <w:sz w:val="24"/>
          <w:szCs w:val="24"/>
          <w:highlight w:val="none"/>
          <w:lang w:val="en-US"/>
        </w:rPr>
        <w:t>★</w:t>
      </w:r>
      <w:r>
        <w:rPr>
          <w:rFonts w:hint="eastAsia" w:hAnsi="宋体" w:cs="宋体"/>
          <w:bCs/>
          <w:sz w:val="24"/>
          <w:highlight w:val="none"/>
          <w:lang w:eastAsia="zh-CN"/>
        </w:rPr>
        <w:t>（三）履约保证金</w:t>
      </w:r>
    </w:p>
    <w:p>
      <w:pPr>
        <w:pStyle w:val="2"/>
        <w:spacing w:line="360" w:lineRule="auto"/>
        <w:ind w:firstLine="480" w:firstLineChars="200"/>
        <w:rPr>
          <w:rFonts w:hint="default" w:eastAsia="宋体"/>
          <w:lang w:val="en-US" w:eastAsia="zh-CN"/>
        </w:rPr>
      </w:pPr>
      <w:r>
        <w:rPr>
          <w:rFonts w:hint="eastAsia" w:cs="宋体"/>
          <w:sz w:val="24"/>
          <w:highlight w:val="none"/>
          <w:lang w:bidi="ar"/>
        </w:rPr>
        <w:t>在签订合同前，中标人应按</w:t>
      </w:r>
      <w:r>
        <w:rPr>
          <w:rFonts w:hint="eastAsia" w:cs="宋体"/>
          <w:sz w:val="24"/>
          <w:highlight w:val="none"/>
          <w:lang w:eastAsia="zh-CN" w:bidi="ar"/>
        </w:rPr>
        <w:t>合同中约</w:t>
      </w:r>
      <w:r>
        <w:rPr>
          <w:rFonts w:hint="eastAsia" w:cs="宋体"/>
          <w:sz w:val="24"/>
          <w:highlight w:val="none"/>
          <w:lang w:bidi="ar"/>
        </w:rPr>
        <w:t>定的金额向采购人提交履约保证金。履约保证金形式可采用支票、汇票、本票或者金融机构、担保机构出具的保函等非现金形式。</w:t>
      </w:r>
    </w:p>
    <w:p>
      <w:pPr>
        <w:pStyle w:val="2"/>
      </w:pPr>
    </w:p>
    <w:p>
      <w:pPr>
        <w:pStyle w:val="6"/>
        <w:spacing w:line="360" w:lineRule="auto"/>
        <w:ind w:firstLine="0" w:firstLineChars="0"/>
        <w:contextualSpacing/>
        <w:outlineLvl w:val="0"/>
        <w:rPr>
          <w:rFonts w:ascii="Times New Roman" w:hAnsi="Times New Roman"/>
          <w:b/>
          <w:sz w:val="24"/>
          <w:szCs w:val="24"/>
          <w:highlight w:val="none"/>
        </w:rPr>
      </w:pPr>
      <w:r>
        <w:rPr>
          <w:rFonts w:hint="eastAsia" w:ascii="Times New Roman" w:hAnsi="Times New Roman"/>
          <w:b/>
          <w:sz w:val="24"/>
          <w:szCs w:val="24"/>
          <w:highlight w:val="none"/>
        </w:rPr>
        <w:t>三、技术要求</w:t>
      </w:r>
    </w:p>
    <w:p>
      <w:pPr>
        <w:spacing w:line="360" w:lineRule="auto"/>
        <w:contextualSpacing/>
        <w:outlineLvl w:val="1"/>
        <w:rPr>
          <w:b/>
          <w:sz w:val="24"/>
          <w:highlight w:val="none"/>
        </w:rPr>
      </w:pPr>
      <w:r>
        <w:rPr>
          <w:rFonts w:hint="eastAsia"/>
          <w:b/>
          <w:sz w:val="24"/>
          <w:highlight w:val="none"/>
        </w:rPr>
        <w:t>（一）基本要求</w:t>
      </w:r>
    </w:p>
    <w:p>
      <w:pPr>
        <w:spacing w:line="360" w:lineRule="auto"/>
        <w:ind w:firstLine="482" w:firstLineChars="200"/>
        <w:contextualSpacing/>
        <w:outlineLvl w:val="2"/>
        <w:rPr>
          <w:b/>
          <w:bCs/>
          <w:sz w:val="24"/>
          <w:highlight w:val="none"/>
        </w:rPr>
      </w:pPr>
      <w:r>
        <w:rPr>
          <w:rFonts w:hint="eastAsia"/>
          <w:b/>
          <w:bCs/>
          <w:sz w:val="24"/>
          <w:highlight w:val="none"/>
        </w:rPr>
        <w:t>1 运行维护目标</w:t>
      </w:r>
    </w:p>
    <w:p>
      <w:pPr>
        <w:spacing w:line="360" w:lineRule="auto"/>
        <w:ind w:firstLine="482"/>
        <w:contextualSpacing/>
        <w:rPr>
          <w:rFonts w:ascii="宋体" w:hAnsi="宋体" w:cs="宋体"/>
          <w:sz w:val="24"/>
          <w:highlight w:val="none"/>
        </w:rPr>
      </w:pPr>
      <w:r>
        <w:rPr>
          <w:rFonts w:hint="eastAsia" w:ascii="宋体" w:hAnsi="宋体" w:cs="宋体"/>
          <w:sz w:val="24"/>
          <w:highlight w:val="none"/>
        </w:rPr>
        <w:t>本项目根据运行需求，针对北京市水务局在北京市市级政务云上运行的信息系统，提供满足系统运行所需要的云计算服务，用于北京市水务局信息系统的云上稳定运行，包括云主机、存储、网络等层面的相关资源，充分保障市水务局面向全市的水务服务可用性及连续性，提升水务服务质量。</w:t>
      </w:r>
    </w:p>
    <w:p>
      <w:pPr>
        <w:spacing w:line="360" w:lineRule="auto"/>
        <w:ind w:firstLine="482" w:firstLineChars="200"/>
        <w:contextualSpacing/>
        <w:outlineLvl w:val="2"/>
        <w:rPr>
          <w:b/>
          <w:bCs/>
          <w:sz w:val="24"/>
          <w:highlight w:val="none"/>
        </w:rPr>
      </w:pPr>
      <w:r>
        <w:rPr>
          <w:rFonts w:hint="eastAsia"/>
          <w:b/>
          <w:bCs/>
          <w:sz w:val="24"/>
          <w:highlight w:val="none"/>
        </w:rPr>
        <w:t>2 执行的标准和规范</w:t>
      </w:r>
    </w:p>
    <w:p>
      <w:pPr>
        <w:spacing w:line="360" w:lineRule="auto"/>
        <w:ind w:firstLine="482" w:firstLineChars="200"/>
        <w:contextualSpacing/>
        <w:outlineLvl w:val="3"/>
        <w:rPr>
          <w:b/>
          <w:sz w:val="24"/>
          <w:highlight w:val="none"/>
        </w:rPr>
      </w:pPr>
      <w:r>
        <w:rPr>
          <w:rFonts w:hint="eastAsia"/>
          <w:b/>
          <w:sz w:val="24"/>
          <w:highlight w:val="none"/>
        </w:rPr>
        <w:t>2.1 国家及北京市有关政策</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《关键信息基础设施安全保护条例》（中华人民共和国国务院令第745号）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《国家政务信息化项目建设管理办法》（国办发〔2019〕57号）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《政府采购需求管理办法》(财库〔2021〕22号)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《关于促进政府采购公平竞争优化营商环境的通知》（财库〔2019〕38号）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《关于进一步提高政府采购透明度和采购效率相关事项的通知》（财办库〔2023〕243号）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《工业和信息化部信息通信管理局关于督促互联网网络接入服务企业依法持证经营的通知》（工信管函〔2018〕84号）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《云计算服务安全评估办法》（国家互联网信息办公室、国家发展和改革委员会、工业和信息化部、财政部公告2019年2号）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《关于加强党政部门云计算服务网络安全管理的意见》（中网办发文〔2014〕14号）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《基于云计算的电子政务公共平台顶层设计指南》</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《北京市财政局关于印发&lt;北京市政府采购负面清单&gt;的通知》（京财采购〔2020〕1345号）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《北京市财政局关于落实好政府采购支持中小企业发展的通知（京财采购〔2022〕1143号）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《关于印发&lt;关于推进我市政务信息系统整合共享的实施方案&gt;的通知》（京经信委发〔2017〕89号）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《北京市人民政府关于印发&lt;北京市政务信息资源管理办法（试行）&gt;的通知》（京政发〔2017〕37号）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《关于印发&lt;北京市市级政务云管理办法&gt;的通知》（京经信函〔2019〕150号）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《北京市政务网络和数据安全管理办法》（京经信发〔2023〕57号）</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《北京市“十四五”时期智慧城市建设控制性规划要求（试行）》（京大数据发〔2021〕2号）</w:t>
      </w:r>
    </w:p>
    <w:p>
      <w:pPr>
        <w:spacing w:line="360" w:lineRule="auto"/>
        <w:ind w:firstLine="482" w:firstLineChars="200"/>
        <w:contextualSpacing/>
        <w:outlineLvl w:val="3"/>
        <w:rPr>
          <w:b/>
          <w:sz w:val="24"/>
          <w:highlight w:val="none"/>
        </w:rPr>
      </w:pPr>
      <w:r>
        <w:rPr>
          <w:rFonts w:hint="eastAsia"/>
          <w:b/>
          <w:sz w:val="24"/>
          <w:highlight w:val="none"/>
        </w:rPr>
        <w:t>2.2 国家相关标准</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《国家电子政务外网安全接入平台技术规范》</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《信息技术—云计算—云服务质量评价指标》（GB/T 37738-2019）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《信息技术—云计算—云服务计量指标》（GB/T 37735-2019）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《信息技术—云计算—云服务采购指南》（GB/T 37734-2019）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《信息技术—云计算—云存储系统服务接口功能》（GB/T 37732-2019）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《信息技术—云计算—云资源监控通用要求》（GB/T 37736-2019）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《信息技术—云计算—云平台间应用和数据迁移指南》（GB/T 37740-2019）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《信息技术—云计算—云服务交付要求》（GB/T 37741-2019）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《信息系统灾难恢复规范》（GB/T 20988-2007）</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云计算服务安全能力要求》（GB/T 31168-2014）</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网络安全等级保护定级指南》（GB/T 22240-2020）</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网络安全等级保护基本要求》（GB/T 22239-2019）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网络安全等级保护测评要求》（GB/T 28448-2019）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信息系统密码应用基本要求》（GB/T39786-2021）</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信息安全风险评估方法》（GB/T 20984-2022）</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云计算服务安全指南》（GB/T 31167-2014）</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政府网站云计算服务安全指南》（GB/T 38249—2019）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云计算安全参考架构》（GB/T 35279—2017）</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云计算服务安全能力评估方法》GB/T 34942—2017</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《信息安全技术 云计算服务运行监管框架》（GB/T 37972—2019）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《信息技术 云资源监控指标体系》（GB/T 37938-2019）</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《云计算关键领域安全指南V4.0》</w:t>
      </w:r>
    </w:p>
    <w:p>
      <w:pPr>
        <w:spacing w:line="360" w:lineRule="auto"/>
        <w:ind w:firstLine="482" w:firstLineChars="200"/>
        <w:contextualSpacing/>
        <w:outlineLvl w:val="3"/>
        <w:rPr>
          <w:b/>
          <w:sz w:val="24"/>
          <w:highlight w:val="none"/>
        </w:rPr>
      </w:pPr>
      <w:r>
        <w:rPr>
          <w:rFonts w:hint="eastAsia"/>
          <w:b/>
          <w:sz w:val="24"/>
          <w:highlight w:val="none"/>
        </w:rPr>
        <w:t>2.3 北京市相关标准</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《政务云平台建设技术要求》（DB11/T 2169-2023）</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《北京市政务云安全技术规范 IaaS云计算平台分册》</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《北京市政务云安全技术规范 IaaS云计算平台安全监管接口分册》</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《北京市政务云安全技术规范 信息安全服务接口分册》</w:t>
      </w:r>
    </w:p>
    <w:p>
      <w:pPr>
        <w:spacing w:line="360" w:lineRule="auto"/>
        <w:ind w:firstLine="480" w:firstLineChars="200"/>
        <w:contextualSpacing/>
        <w:outlineLvl w:val="0"/>
        <w:rPr>
          <w:rFonts w:ascii="宋体" w:hAnsi="宋体" w:cs="宋体"/>
          <w:sz w:val="24"/>
          <w:highlight w:val="none"/>
        </w:rPr>
      </w:pPr>
      <w:r>
        <w:rPr>
          <w:rFonts w:hint="eastAsia" w:ascii="宋体" w:hAnsi="宋体" w:cs="宋体"/>
          <w:sz w:val="24"/>
          <w:highlight w:val="none"/>
        </w:rPr>
        <w:t>注：服务标准涉及的国家标准及北京市标准有更新的，执行最新标准。</w:t>
      </w:r>
    </w:p>
    <w:p>
      <w:pPr>
        <w:spacing w:line="360" w:lineRule="auto"/>
        <w:contextualSpacing/>
        <w:outlineLvl w:val="1"/>
        <w:rPr>
          <w:b/>
          <w:sz w:val="24"/>
          <w:highlight w:val="none"/>
        </w:rPr>
      </w:pPr>
      <w:r>
        <w:rPr>
          <w:rFonts w:hint="eastAsia"/>
          <w:b/>
          <w:sz w:val="24"/>
          <w:highlight w:val="none"/>
        </w:rPr>
        <w:t>（二）服务内容及要求</w:t>
      </w:r>
    </w:p>
    <w:p>
      <w:pPr>
        <w:spacing w:line="360" w:lineRule="auto"/>
        <w:ind w:firstLine="482" w:firstLineChars="200"/>
        <w:contextualSpacing/>
        <w:outlineLvl w:val="2"/>
        <w:rPr>
          <w:b/>
          <w:bCs/>
          <w:sz w:val="24"/>
          <w:highlight w:val="none"/>
        </w:rPr>
      </w:pPr>
      <w:r>
        <w:rPr>
          <w:rFonts w:hint="eastAsia"/>
          <w:b/>
          <w:bCs/>
          <w:sz w:val="24"/>
          <w:highlight w:val="none"/>
        </w:rPr>
        <w:t>1 计算服务</w:t>
      </w:r>
    </w:p>
    <w:p>
      <w:pPr>
        <w:spacing w:line="360" w:lineRule="auto"/>
        <w:ind w:firstLine="482" w:firstLineChars="200"/>
        <w:contextualSpacing/>
        <w:outlineLvl w:val="3"/>
        <w:rPr>
          <w:b/>
          <w:sz w:val="24"/>
          <w:highlight w:val="none"/>
        </w:rPr>
      </w:pPr>
      <w:r>
        <w:rPr>
          <w:rFonts w:hint="eastAsia"/>
          <w:b/>
          <w:sz w:val="24"/>
          <w:highlight w:val="none"/>
        </w:rPr>
        <w:t>1.1服务内容</w:t>
      </w:r>
    </w:p>
    <w:p>
      <w:pPr>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按照采购人的具体需求，提供云主机服务，包括：X86、ARM、C86平台云主机服务和物理服务器租用服务，按需求对CPU及内存进行动态调整，实现合理的计算资源配置。在提供政务云主机的服务过程中做好与采购人和对应项目应用开发厂商的协调沟通工作。</w:t>
      </w:r>
    </w:p>
    <w:p>
      <w:pPr>
        <w:spacing w:line="360" w:lineRule="auto"/>
        <w:ind w:firstLine="482" w:firstLineChars="200"/>
        <w:contextualSpacing/>
        <w:outlineLvl w:val="3"/>
        <w:rPr>
          <w:b/>
          <w:sz w:val="24"/>
          <w:highlight w:val="none"/>
        </w:rPr>
      </w:pPr>
      <w:r>
        <w:rPr>
          <w:rFonts w:hint="eastAsia"/>
          <w:b/>
          <w:sz w:val="24"/>
          <w:highlight w:val="none"/>
        </w:rPr>
        <w:t>1.2服务标准</w:t>
      </w:r>
    </w:p>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（1）云主机租用服务技术需求</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须按照“一云多芯”模式建设，按需</w:t>
      </w:r>
      <w:r>
        <w:rPr>
          <w:rFonts w:hint="eastAsia" w:ascii="宋体" w:hAnsi="宋体" w:cs="宋体"/>
          <w:sz w:val="24"/>
          <w:highlight w:val="none"/>
          <w:lang w:eastAsia="zh-CN"/>
        </w:rPr>
        <w:t>可</w:t>
      </w:r>
      <w:r>
        <w:rPr>
          <w:rFonts w:hint="eastAsia" w:ascii="宋体" w:hAnsi="宋体" w:cs="宋体"/>
          <w:sz w:val="24"/>
          <w:highlight w:val="none"/>
        </w:rPr>
        <w:t>提供鲲鹏、飞腾、海光等各技术路线的计算资源。</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jc w:val="center"/>
              <w:rPr>
                <w:highlight w:val="none"/>
              </w:rPr>
            </w:pPr>
            <w:r>
              <w:rPr>
                <w:rFonts w:hint="eastAsia"/>
                <w:highlight w:val="none"/>
              </w:rPr>
              <w:t>指标项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jc w:val="cente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性能限制</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按内存不复用方式分配资源，</w:t>
            </w:r>
            <w:r>
              <w:rPr>
                <w:rFonts w:hint="eastAsia"/>
                <w:highlight w:val="none"/>
                <w:lang w:eastAsia="zh-CN"/>
              </w:rPr>
              <w:t>提供的</w:t>
            </w:r>
            <w:r>
              <w:rPr>
                <w:rFonts w:hint="eastAsia"/>
                <w:highlight w:val="none"/>
              </w:rPr>
              <w:t>CPU主频≥2.4GHz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性能范围</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CPU核数可选范围1-16核，内存可选范围1-64G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操作系统兼容性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支持主流操作系统，如windows server系列、Linux发行版、国产Linux等，需正版授权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right w:val="single" w:color="000000" w:sz="4" w:space="0"/>
            </w:tcBorders>
            <w:noWrap w:val="0"/>
            <w:vAlign w:val="center"/>
          </w:tcPr>
          <w:p>
            <w:pPr>
              <w:rPr>
                <w:highlight w:val="none"/>
              </w:rPr>
            </w:pPr>
            <w:r>
              <w:rPr>
                <w:rFonts w:hint="eastAsia"/>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用户可以灵活调整云主机CPU、内存、硬盘规格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云主机隔离</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对不同用户的虚拟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以保障系统平台的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管理权限</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用户对云主机有完全的控制权，具有管理员权限，使用方式与传统物理主机完全一致。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restart"/>
            <w:tcBorders>
              <w:top w:val="single" w:color="000000" w:sz="4" w:space="0"/>
              <w:left w:val="single" w:color="000000" w:sz="4" w:space="0"/>
              <w:right w:val="single" w:color="000000" w:sz="4" w:space="0"/>
            </w:tcBorders>
            <w:noWrap w:val="0"/>
            <w:vAlign w:val="center"/>
          </w:tcPr>
          <w:p>
            <w:pPr>
              <w:rPr>
                <w:highlight w:val="none"/>
              </w:rPr>
            </w:pPr>
            <w:r>
              <w:rPr>
                <w:rFonts w:hint="eastAsia"/>
                <w:highlight w:val="none"/>
              </w:rPr>
              <w:t>HA功能</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虚拟化管理节点须支持双机热备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noWrap w:val="0"/>
            <w:vAlign w:val="center"/>
          </w:tcPr>
          <w:p>
            <w:pPr>
              <w:rPr>
                <w:highlight w:val="none"/>
              </w:rPr>
            </w:pP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虚拟化管理系统支持虚拟机的HA功能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noWrap w:val="0"/>
            <w:vAlign w:val="center"/>
          </w:tcPr>
          <w:p>
            <w:pPr>
              <w:rPr>
                <w:highlight w:val="none"/>
              </w:rPr>
            </w:pP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硬件设备出现故障时，云主机会自动进行HA切换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备份功能</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支持云主机备份功能，可以实现云主机的全量备份、增量备份，支持备份周期、备份策略的设定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可操作性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支持通过云管理平台，实现申请部署与使用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安全防护</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提供防ARP欺骗、自定义防火墙功能，支持防DDos攻击；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弹性网络</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支持虚拟路由、虚拟交换机和弹性IP，用户可自定义虚拟主机的网络拓扑和IP地址；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镜像快照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创建虚拟主机时，可指定用户预先配置好的镜像文件作为模板。虚拟主机支持增量快照备份功能，提高备份效率，减小备份占用空间，并支持公共镜像、私有镜像以及共享镜像等多种方式。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数据存储</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虚拟主机底层采用分布式块存储，每个虚拟主机的镜像存储达到多副本可靠性，数据可靠性不低于99.9999%；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高可用性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虚拟主机服务采用全冗余架构，无单点故障，平均可用性不低于99.99%；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noWrap w:val="0"/>
            <w:vAlign w:val="center"/>
          </w:tcPr>
          <w:p>
            <w:pPr>
              <w:rPr>
                <w:highlight w:val="none"/>
              </w:rPr>
            </w:pPr>
            <w:r>
              <w:rPr>
                <w:rFonts w:hint="eastAsia"/>
                <w:highlight w:val="none"/>
              </w:rPr>
              <w:t>扩展性</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支持计算能力的垂直伸缩，支持对CPU和内存的升级与降级操作，支持增加、减少磁盘和带宽；</w:t>
            </w:r>
          </w:p>
          <w:p>
            <w:pPr>
              <w:rPr>
                <w:highlight w:val="none"/>
              </w:rPr>
            </w:pPr>
            <w:r>
              <w:rPr>
                <w:rFonts w:hint="eastAsia"/>
                <w:highlight w:val="none"/>
              </w:rPr>
              <w:t>支持计算能力的水平伸缩，通过与负载均衡配合实现水平伸缩；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restart"/>
            <w:tcBorders>
              <w:left w:val="single" w:color="000000" w:sz="4" w:space="0"/>
              <w:right w:val="single" w:color="000000" w:sz="4" w:space="0"/>
            </w:tcBorders>
            <w:shd w:val="clear" w:color="auto" w:fill="auto"/>
            <w:noWrap w:val="0"/>
            <w:vAlign w:val="center"/>
          </w:tcPr>
          <w:p>
            <w:pPr>
              <w:rPr>
                <w:highlight w:val="none"/>
              </w:rPr>
            </w:pPr>
            <w:r>
              <w:rPr>
                <w:rFonts w:hint="eastAsia"/>
                <w:highlight w:val="none"/>
              </w:rPr>
              <w:t>基本需求</w:t>
            </w:r>
          </w:p>
          <w:p>
            <w:pPr>
              <w:rPr>
                <w:highlight w:val="none"/>
              </w:rPr>
            </w:pPr>
          </w:p>
        </w:tc>
        <w:tc>
          <w:tcPr>
            <w:tcW w:w="660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rPr>
                <w:highlight w:val="none"/>
              </w:rPr>
            </w:pPr>
            <w:r>
              <w:rPr>
                <w:rFonts w:hint="eastAsia" w:ascii="宋体" w:hAnsi="宋体" w:cs="仿宋_GB2312"/>
                <w:b/>
                <w:bCs/>
                <w:szCs w:val="21"/>
                <w:highlight w:val="none"/>
              </w:rPr>
              <w:t>#支持提供专属宿主机，要求支持根据自身业务情况调整CPU虚拟核数，要求提供设置虚拟核数功能（提供界面功能截图）；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shd w:val="clear" w:color="auto" w:fill="auto"/>
            <w:noWrap w:val="0"/>
            <w:vAlign w:val="top"/>
          </w:tcPr>
          <w:p>
            <w:pPr>
              <w:rPr>
                <w:highlight w:val="none"/>
              </w:rPr>
            </w:pPr>
          </w:p>
        </w:tc>
        <w:tc>
          <w:tcPr>
            <w:tcW w:w="6601" w:type="dxa"/>
            <w:shd w:val="clear" w:color="auto" w:fill="FFFFFF"/>
            <w:noWrap w:val="0"/>
            <w:vAlign w:val="top"/>
          </w:tcPr>
          <w:p>
            <w:pPr>
              <w:rPr>
                <w:highlight w:val="none"/>
              </w:rPr>
            </w:pPr>
            <w:r>
              <w:rPr>
                <w:rFonts w:hint="eastAsia" w:ascii="宋体" w:hAnsi="宋体" w:cs="仿宋_GB2312"/>
                <w:b/>
                <w:bCs/>
                <w:szCs w:val="21"/>
                <w:highlight w:val="none"/>
              </w:rPr>
              <w:t>#支持数据中心资源动态伸缩，可根据业务压力随时调整虚拟机数量，伸缩策略包含定时任务、告警触发策略等（提供界面功能截图）；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restart"/>
            <w:noWrap w:val="0"/>
            <w:vAlign w:val="center"/>
          </w:tcPr>
          <w:p>
            <w:pPr>
              <w:rPr>
                <w:highlight w:val="none"/>
              </w:rPr>
            </w:pPr>
            <w:r>
              <w:rPr>
                <w:rFonts w:hint="eastAsia"/>
                <w:highlight w:val="none"/>
              </w:rPr>
              <w:t>政务云资源及服务管理要求</w:t>
            </w:r>
          </w:p>
          <w:p>
            <w:pPr>
              <w:rPr>
                <w:highlight w:val="none"/>
              </w:rPr>
            </w:pPr>
          </w:p>
        </w:tc>
        <w:tc>
          <w:tcPr>
            <w:tcW w:w="6601" w:type="dxa"/>
            <w:noWrap w:val="0"/>
            <w:vAlign w:val="center"/>
          </w:tcPr>
          <w:p>
            <w:pPr>
              <w:rPr>
                <w:highlight w:val="none"/>
              </w:rPr>
            </w:pPr>
            <w:r>
              <w:rPr>
                <w:rFonts w:hint="eastAsia" w:ascii="宋体" w:hAnsi="宋体" w:cs="仿宋_GB2312"/>
                <w:b/>
                <w:bCs/>
                <w:szCs w:val="21"/>
                <w:highlight w:val="none"/>
              </w:rPr>
              <w:t>#投标人提供云资源可视化</w:t>
            </w:r>
            <w:r>
              <w:rPr>
                <w:rFonts w:hint="eastAsia" w:ascii="宋体" w:hAnsi="宋体" w:cs="仿宋_GB2312"/>
                <w:b/>
                <w:bCs/>
                <w:szCs w:val="21"/>
                <w:highlight w:val="none"/>
                <w:lang w:eastAsia="zh-Hans"/>
              </w:rPr>
              <w:t>监控</w:t>
            </w:r>
            <w:r>
              <w:rPr>
                <w:rFonts w:hint="eastAsia" w:ascii="宋体" w:hAnsi="宋体" w:cs="仿宋_GB2312"/>
                <w:b/>
                <w:bCs/>
                <w:szCs w:val="21"/>
                <w:highlight w:val="none"/>
              </w:rPr>
              <w:t>管理能力，可提供基于业务系统的资源概览、云主机、CPU、内存资源的统计展示（提供界面功能截图）等</w:t>
            </w:r>
            <w:r>
              <w:rPr>
                <w:rFonts w:hint="eastAsia" w:ascii="宋体" w:hAnsi="宋体" w:cs="仿宋_GB2312"/>
                <w:b/>
                <w:bCs/>
                <w:szCs w:val="21"/>
                <w:highlight w:val="none"/>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noWrap w:val="0"/>
            <w:vAlign w:val="top"/>
          </w:tcPr>
          <w:p>
            <w:pPr>
              <w:rPr>
                <w:highlight w:val="none"/>
              </w:rPr>
            </w:pPr>
          </w:p>
        </w:tc>
        <w:tc>
          <w:tcPr>
            <w:tcW w:w="6601" w:type="dxa"/>
            <w:noWrap w:val="0"/>
            <w:vAlign w:val="center"/>
          </w:tcPr>
          <w:p>
            <w:pPr>
              <w:rPr>
                <w:highlight w:val="none"/>
              </w:rPr>
            </w:pPr>
            <w:r>
              <w:rPr>
                <w:rFonts w:hint="eastAsia" w:ascii="宋体" w:hAnsi="宋体" w:cs="仿宋_GB2312"/>
                <w:b/>
                <w:bCs/>
                <w:szCs w:val="21"/>
                <w:highlight w:val="none"/>
              </w:rPr>
              <w:t>#投标人提供</w:t>
            </w:r>
            <w:r>
              <w:rPr>
                <w:rFonts w:hint="eastAsia" w:ascii="宋体" w:hAnsi="宋体" w:cs="仿宋_GB2312"/>
                <w:b/>
                <w:bCs/>
                <w:szCs w:val="21"/>
                <w:highlight w:val="none"/>
                <w:lang w:eastAsia="zh-Hans"/>
              </w:rPr>
              <w:t>业务</w:t>
            </w:r>
            <w:r>
              <w:rPr>
                <w:rFonts w:hint="eastAsia" w:ascii="宋体" w:hAnsi="宋体" w:cs="仿宋_GB2312"/>
                <w:b/>
                <w:bCs/>
                <w:szCs w:val="21"/>
                <w:highlight w:val="none"/>
              </w:rPr>
              <w:t>可视化</w:t>
            </w:r>
            <w:r>
              <w:rPr>
                <w:rFonts w:hint="eastAsia" w:ascii="宋体" w:hAnsi="宋体" w:cs="仿宋_GB2312"/>
                <w:b/>
                <w:bCs/>
                <w:szCs w:val="21"/>
                <w:highlight w:val="none"/>
                <w:lang w:eastAsia="zh-Hans"/>
              </w:rPr>
              <w:t>监控管理</w:t>
            </w:r>
            <w:r>
              <w:rPr>
                <w:rFonts w:hint="eastAsia" w:ascii="宋体" w:hAnsi="宋体" w:cs="仿宋_GB2312"/>
                <w:b/>
                <w:bCs/>
                <w:szCs w:val="21"/>
                <w:highlight w:val="none"/>
              </w:rPr>
              <w:t>能力，支持业务探活（提供界面功能截图），可清晰展示业务系统及互联网地址的关联关系以及探活线路的监测状态</w:t>
            </w:r>
            <w:r>
              <w:rPr>
                <w:rFonts w:hint="eastAsia" w:ascii="宋体" w:hAnsi="宋体" w:cs="仿宋_GB2312"/>
                <w:b/>
                <w:bCs/>
                <w:szCs w:val="21"/>
                <w:highlight w:val="none"/>
                <w:lang w:eastAsia="zh-Han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noWrap w:val="0"/>
            <w:vAlign w:val="top"/>
          </w:tcPr>
          <w:p>
            <w:pPr>
              <w:rPr>
                <w:highlight w:val="none"/>
              </w:rPr>
            </w:pPr>
          </w:p>
        </w:tc>
        <w:tc>
          <w:tcPr>
            <w:tcW w:w="6601" w:type="dxa"/>
            <w:noWrap w:val="0"/>
            <w:vAlign w:val="center"/>
          </w:tcPr>
          <w:p>
            <w:pPr>
              <w:rPr>
                <w:highlight w:val="none"/>
              </w:rPr>
            </w:pPr>
            <w:r>
              <w:rPr>
                <w:rFonts w:hint="eastAsia" w:ascii="宋体" w:hAnsi="宋体" w:cs="仿宋_GB2312"/>
                <w:b/>
                <w:bCs/>
                <w:szCs w:val="21"/>
                <w:highlight w:val="none"/>
              </w:rPr>
              <w:t>#投标人提供可视化管理能力，支持针对业务系统资源的BI数据分析能力（提供界面功能截图），包括使用趋势、资源使用量等；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noWrap w:val="0"/>
            <w:vAlign w:val="top"/>
          </w:tcPr>
          <w:p>
            <w:pPr>
              <w:rPr>
                <w:highlight w:val="none"/>
              </w:rPr>
            </w:pPr>
          </w:p>
        </w:tc>
        <w:tc>
          <w:tcPr>
            <w:tcW w:w="6601" w:type="dxa"/>
            <w:noWrap w:val="0"/>
            <w:vAlign w:val="center"/>
          </w:tcPr>
          <w:p>
            <w:pPr>
              <w:rPr>
                <w:rFonts w:ascii="宋体" w:hAnsi="宋体" w:cs="仿宋_GB2312"/>
                <w:b/>
                <w:bCs/>
                <w:szCs w:val="21"/>
                <w:highlight w:val="none"/>
              </w:rPr>
            </w:pPr>
            <w:r>
              <w:rPr>
                <w:rFonts w:hint="eastAsia" w:ascii="宋体" w:hAnsi="宋体" w:cs="仿宋_GB2312"/>
                <w:b/>
                <w:bCs/>
                <w:szCs w:val="21"/>
                <w:highlight w:val="none"/>
              </w:rPr>
              <w:t>#可提供对应资源的云效率统计（提供界面功能截图）；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noWrap w:val="0"/>
            <w:vAlign w:val="top"/>
          </w:tcPr>
          <w:p>
            <w:pPr>
              <w:rPr>
                <w:highlight w:val="none"/>
              </w:rPr>
            </w:pPr>
            <w:r>
              <w:rPr>
                <w:rFonts w:hint="eastAsia"/>
                <w:highlight w:val="none"/>
              </w:rPr>
              <w:t>#通过《云平台网络能力评估方法 第4部分：云组网》检验。（提供通过相关检验的证明材料复印件并加盖证明材料持有人公章，证明材料持有人与投标人必须完全一致。）#通过《云平台网络能力评估方法 第4部分：云组网》检验。（提供通过相关检验的证明材料复印件并加盖证明材料持有人公章，证明材料持有人与投标人必须完全一致。）</w:t>
            </w:r>
          </w:p>
        </w:tc>
        <w:tc>
          <w:tcPr>
            <w:tcW w:w="6601" w:type="dxa"/>
            <w:noWrap w:val="0"/>
            <w:vAlign w:val="center"/>
          </w:tcPr>
          <w:p>
            <w:pPr>
              <w:rPr>
                <w:highlight w:val="none"/>
              </w:rPr>
            </w:pPr>
            <w:r>
              <w:rPr>
                <w:rFonts w:hint="eastAsia" w:ascii="宋体" w:hAnsi="宋体" w:cs="仿宋_GB2312"/>
                <w:b/>
                <w:bCs/>
                <w:szCs w:val="21"/>
                <w:highlight w:val="none"/>
              </w:rPr>
              <w:t>#投标人提供业务监控告警可视化展示，包括云主机告警、物理机告警、业务拨测告警等（提供界面功能截图），</w:t>
            </w:r>
            <w:r>
              <w:rPr>
                <w:rFonts w:hint="eastAsia" w:ascii="宋体" w:hAnsi="宋体" w:cs="仿宋_GB2312"/>
                <w:szCs w:val="21"/>
                <w:highlight w:val="none"/>
              </w:rPr>
              <w:t>可展示告警策略规则、告警时间、告警恢复时间等</w:t>
            </w:r>
            <w:r>
              <w:rPr>
                <w:rFonts w:hint="eastAsia" w:ascii="宋体" w:hAnsi="宋体" w:cs="仿宋_GB2312"/>
                <w:szCs w:val="21"/>
                <w:highlight w:val="none"/>
                <w:lang w:eastAsia="zh-Hans"/>
              </w:rPr>
              <w:t>。</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（2）物理服务器技术需求</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提供裸金属主机服务，云服务商根据需求提供裸金属物理主机（</w:t>
      </w:r>
      <w:r>
        <w:rPr>
          <w:rFonts w:hint="eastAsia" w:ascii="宋体" w:hAnsi="宋体" w:cs="宋体"/>
          <w:sz w:val="24"/>
          <w:highlight w:val="none"/>
          <w:lang w:eastAsia="zh-CN"/>
        </w:rPr>
        <w:t>支持</w:t>
      </w:r>
      <w:r>
        <w:rPr>
          <w:rFonts w:hint="eastAsia" w:ascii="宋体" w:hAnsi="宋体" w:cs="宋体"/>
          <w:sz w:val="24"/>
          <w:highlight w:val="none"/>
        </w:rPr>
        <w:t>X86、ARM、C86</w:t>
      </w:r>
      <w:r>
        <w:rPr>
          <w:rFonts w:hint="eastAsia" w:ascii="宋体" w:hAnsi="宋体" w:cs="宋体"/>
          <w:sz w:val="24"/>
          <w:highlight w:val="none"/>
          <w:lang w:eastAsia="zh-CN"/>
        </w:rPr>
        <w:t>等架构</w:t>
      </w:r>
      <w:r>
        <w:rPr>
          <w:rFonts w:hint="eastAsia" w:ascii="宋体" w:hAnsi="宋体" w:cs="宋体"/>
          <w:sz w:val="24"/>
          <w:highlight w:val="none"/>
        </w:rPr>
        <w:t>）。</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6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指标项</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性能要求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至少提供以下规格物理机以及配件规格供用户租用</w:t>
            </w:r>
          </w:p>
          <w:p>
            <w:pPr>
              <w:rPr>
                <w:highlight w:val="none"/>
              </w:rPr>
            </w:pPr>
            <w:r>
              <w:rPr>
                <w:rFonts w:hint="eastAsia"/>
                <w:highlight w:val="none"/>
              </w:rPr>
              <w:t>物理服务器配置1：双路每CPU核数≥32核，主频 ≥2.0GHz，128G内存，2块600GSAS硕盘，2个HBA卡，2个万兆端口。</w:t>
            </w:r>
          </w:p>
          <w:p>
            <w:pPr>
              <w:rPr>
                <w:highlight w:val="none"/>
              </w:rPr>
            </w:pPr>
            <w:r>
              <w:rPr>
                <w:rFonts w:hint="eastAsia"/>
                <w:highlight w:val="none"/>
              </w:rPr>
              <w:t>物理服务器增配服务（包含X86、ARM、C86）</w:t>
            </w:r>
          </w:p>
          <w:p>
            <w:pPr>
              <w:rPr>
                <w:highlight w:val="none"/>
              </w:rPr>
            </w:pPr>
            <w:r>
              <w:rPr>
                <w:rFonts w:hint="eastAsia"/>
                <w:highlight w:val="none"/>
              </w:rPr>
              <w:t>内存：32GB内存</w:t>
            </w:r>
          </w:p>
          <w:p>
            <w:pPr>
              <w:rPr>
                <w:highlight w:val="none"/>
              </w:rPr>
            </w:pPr>
            <w:r>
              <w:rPr>
                <w:rFonts w:hint="eastAsia"/>
                <w:highlight w:val="none"/>
              </w:rPr>
              <w:t>硬盘1：480GB SSD硬盘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管理权限</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用户对云主机有完全的控制权，具有管理员权限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扩展性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可支持扩展GPU卡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可操作性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支持通过云管理平台，实现申请部署与使用</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（3）GPU卡算力服务技术需求</w:t>
      </w:r>
    </w:p>
    <w:p>
      <w:pPr>
        <w:ind w:firstLine="480" w:firstLineChars="200"/>
        <w:rPr>
          <w:rFonts w:ascii="宋体" w:hAnsi="宋体" w:cs="宋体"/>
          <w:sz w:val="24"/>
          <w:highlight w:val="none"/>
        </w:rPr>
      </w:pPr>
      <w:r>
        <w:rPr>
          <w:rFonts w:hint="eastAsia" w:ascii="宋体" w:hAnsi="宋体" w:cs="宋体"/>
          <w:sz w:val="24"/>
          <w:highlight w:val="none"/>
        </w:rPr>
        <w:t xml:space="preserve">云服务商能提供支持GPU卡服务包括但不限于GPU、NPU等（需适配X86、ARM、C86等架构）。 </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6"/>
        <w:gridCol w:w="6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指标项</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部署要求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基于X86、ARM、C86等架构计算平台提供图形计算服务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性能要求</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GPU至少提供以下规格供用户租用</w:t>
            </w:r>
          </w:p>
          <w:p>
            <w:pPr>
              <w:rPr>
                <w:highlight w:val="none"/>
              </w:rPr>
            </w:pPr>
            <w:r>
              <w:rPr>
                <w:rFonts w:hint="eastAsia"/>
                <w:highlight w:val="none"/>
              </w:rPr>
              <w:t>GPU显存1GB（需同时租用算力资源、云主机或物理服务器资源，联合使用）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76"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可操作性</w:t>
            </w:r>
          </w:p>
        </w:tc>
        <w:tc>
          <w:tcPr>
            <w:tcW w:w="6446"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提供的GPU卡算力服务，支持查看算力卡使用率等信息。</w:t>
            </w:r>
          </w:p>
          <w:p>
            <w:pPr>
              <w:rPr>
                <w:highlight w:val="none"/>
              </w:rPr>
            </w:pPr>
            <w:r>
              <w:rPr>
                <w:rFonts w:hint="eastAsia"/>
                <w:highlight w:val="none"/>
              </w:rPr>
              <w:t>配合云主机使用的GPU卡需支持将一个或多个 GPU 采用直通虚拟化技术透传给云服务器。</w:t>
            </w:r>
          </w:p>
        </w:tc>
      </w:tr>
    </w:tbl>
    <w:p>
      <w:pPr>
        <w:spacing w:line="360" w:lineRule="auto"/>
        <w:ind w:firstLine="482" w:firstLineChars="200"/>
        <w:contextualSpacing/>
        <w:outlineLvl w:val="2"/>
        <w:rPr>
          <w:b/>
          <w:bCs/>
          <w:sz w:val="24"/>
          <w:highlight w:val="none"/>
        </w:rPr>
      </w:pPr>
      <w:r>
        <w:rPr>
          <w:rFonts w:hint="eastAsia"/>
          <w:b/>
          <w:bCs/>
          <w:sz w:val="24"/>
          <w:highlight w:val="none"/>
        </w:rPr>
        <w:t xml:space="preserve">2 存储服务 </w:t>
      </w:r>
    </w:p>
    <w:p>
      <w:pPr>
        <w:spacing w:line="360" w:lineRule="auto"/>
        <w:ind w:firstLine="482" w:firstLineChars="200"/>
        <w:contextualSpacing/>
        <w:outlineLvl w:val="3"/>
        <w:rPr>
          <w:b/>
          <w:sz w:val="24"/>
          <w:highlight w:val="none"/>
        </w:rPr>
      </w:pPr>
      <w:r>
        <w:rPr>
          <w:rFonts w:hint="eastAsia"/>
          <w:b/>
          <w:sz w:val="24"/>
          <w:highlight w:val="none"/>
        </w:rPr>
        <w:t>2.1服务内容</w:t>
      </w:r>
    </w:p>
    <w:p>
      <w:pPr>
        <w:pStyle w:val="3"/>
        <w:snapToGrid w:val="0"/>
        <w:ind w:firstLine="480"/>
        <w:rPr>
          <w:rFonts w:hAnsi="宋体" w:cs="宋体"/>
          <w:highlight w:val="none"/>
        </w:rPr>
      </w:pPr>
      <w:r>
        <w:rPr>
          <w:rFonts w:hint="eastAsia" w:hAnsi="宋体" w:cs="宋体"/>
          <w:highlight w:val="none"/>
        </w:rPr>
        <w:t>按照采购人的具体需求，提供存储服务，包括：普通性能存储、高性能存储、静态存储和本地备份服务，实现合理的存储资源配置。在提供政务云存储的服务过程中需做好采购人和对应项目应用开发厂商的协调沟通工作。</w:t>
      </w:r>
    </w:p>
    <w:p>
      <w:pPr>
        <w:spacing w:line="360" w:lineRule="auto"/>
        <w:ind w:firstLine="482" w:firstLineChars="200"/>
        <w:contextualSpacing/>
        <w:outlineLvl w:val="3"/>
        <w:rPr>
          <w:b/>
          <w:sz w:val="24"/>
          <w:highlight w:val="none"/>
        </w:rPr>
      </w:pPr>
      <w:r>
        <w:rPr>
          <w:rFonts w:hint="eastAsia"/>
          <w:b/>
          <w:sz w:val="24"/>
          <w:highlight w:val="none"/>
        </w:rPr>
        <w:t>2.2服务标准</w:t>
      </w:r>
    </w:p>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（1）普通性能存储</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36"/>
        <w:gridCol w:w="6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指标项</w:t>
            </w:r>
          </w:p>
        </w:tc>
        <w:tc>
          <w:tcPr>
            <w:tcW w:w="6386" w:type="dxa"/>
            <w:noWrap w:val="0"/>
            <w:tcMar>
              <w:top w:w="0" w:type="dxa"/>
              <w:left w:w="108" w:type="dxa"/>
              <w:bottom w:w="0" w:type="dxa"/>
              <w:right w:w="108" w:type="dxa"/>
            </w:tcMar>
            <w:vAlign w:val="top"/>
          </w:tcPr>
          <w:p>
            <w:pPr>
              <w:rPr>
                <w:highlight w:val="none"/>
              </w:rPr>
            </w:pPr>
            <w:r>
              <w:rPr>
                <w:rFonts w:hint="eastAsia"/>
                <w:highlight w:val="none"/>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可靠性要求</w:t>
            </w:r>
          </w:p>
        </w:tc>
        <w:tc>
          <w:tcPr>
            <w:tcW w:w="6386" w:type="dxa"/>
            <w:noWrap w:val="0"/>
            <w:tcMar>
              <w:top w:w="0" w:type="dxa"/>
              <w:left w:w="108" w:type="dxa"/>
              <w:bottom w:w="0" w:type="dxa"/>
              <w:right w:w="108" w:type="dxa"/>
            </w:tcMar>
            <w:vAlign w:val="top"/>
          </w:tcPr>
          <w:p>
            <w:pPr>
              <w:rPr>
                <w:highlight w:val="none"/>
              </w:rPr>
            </w:pPr>
            <w:r>
              <w:rPr>
                <w:rFonts w:hint="eastAsia"/>
                <w:highlight w:val="none"/>
              </w:rPr>
              <w:t>提供普通存储服务，要求稳定可靠，确保数据可靠性99.9999%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性能要求</w:t>
            </w:r>
          </w:p>
        </w:tc>
        <w:tc>
          <w:tcPr>
            <w:tcW w:w="6386" w:type="dxa"/>
            <w:noWrap w:val="0"/>
            <w:tcMar>
              <w:top w:w="0" w:type="dxa"/>
              <w:left w:w="108" w:type="dxa"/>
              <w:bottom w:w="0" w:type="dxa"/>
              <w:right w:w="108" w:type="dxa"/>
            </w:tcMar>
            <w:vAlign w:val="top"/>
          </w:tcPr>
          <w:p>
            <w:pPr>
              <w:rPr>
                <w:highlight w:val="none"/>
              </w:rPr>
            </w:pPr>
            <w:r>
              <w:rPr>
                <w:rFonts w:hint="eastAsia"/>
                <w:highlight w:val="none"/>
              </w:rPr>
              <w:t>单盘技术指标满足IOPS2000-5000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使用要求</w:t>
            </w:r>
          </w:p>
        </w:tc>
        <w:tc>
          <w:tcPr>
            <w:tcW w:w="6386" w:type="dxa"/>
            <w:noWrap w:val="0"/>
            <w:tcMar>
              <w:top w:w="0" w:type="dxa"/>
              <w:left w:w="108" w:type="dxa"/>
              <w:bottom w:w="0" w:type="dxa"/>
              <w:right w:w="108" w:type="dxa"/>
            </w:tcMar>
            <w:vAlign w:val="top"/>
          </w:tcPr>
          <w:p>
            <w:pPr>
              <w:rPr>
                <w:highlight w:val="none"/>
              </w:rPr>
            </w:pPr>
            <w:r>
              <w:rPr>
                <w:rFonts w:hint="eastAsia"/>
                <w:highlight w:val="none"/>
              </w:rPr>
              <w:t>用户可以以1G为最小单位进行容量申请，并可以申请直接挂载给云主机使用，同时用户可以将申请到的磁盘空间分配给一台或者多台虚拟机/物理机使用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架构要求</w:t>
            </w:r>
          </w:p>
        </w:tc>
        <w:tc>
          <w:tcPr>
            <w:tcW w:w="6386" w:type="dxa"/>
            <w:noWrap w:val="0"/>
            <w:tcMar>
              <w:top w:w="0" w:type="dxa"/>
              <w:left w:w="108" w:type="dxa"/>
              <w:bottom w:w="0" w:type="dxa"/>
              <w:right w:w="108" w:type="dxa"/>
            </w:tcMar>
            <w:vAlign w:val="top"/>
          </w:tcPr>
          <w:p>
            <w:pPr>
              <w:rPr>
                <w:highlight w:val="none"/>
              </w:rPr>
            </w:pPr>
            <w:r>
              <w:rPr>
                <w:rFonts w:hint="eastAsia"/>
                <w:highlight w:val="none"/>
              </w:rPr>
              <w:t>系统整体架构无单点故障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noWrap w:val="0"/>
            <w:tcMar>
              <w:top w:w="0" w:type="dxa"/>
              <w:left w:w="108" w:type="dxa"/>
              <w:bottom w:w="0" w:type="dxa"/>
              <w:right w:w="108" w:type="dxa"/>
            </w:tcMar>
            <w:vAlign w:val="center"/>
          </w:tcPr>
          <w:p>
            <w:pPr>
              <w:rPr>
                <w:highlight w:val="none"/>
              </w:rPr>
            </w:pPr>
            <w:r>
              <w:rPr>
                <w:rFonts w:hint="eastAsia"/>
                <w:highlight w:val="none"/>
              </w:rPr>
              <w:t>可操作性</w:t>
            </w:r>
          </w:p>
        </w:tc>
        <w:tc>
          <w:tcPr>
            <w:tcW w:w="6386" w:type="dxa"/>
            <w:noWrap w:val="0"/>
            <w:tcMar>
              <w:top w:w="0" w:type="dxa"/>
              <w:left w:w="108" w:type="dxa"/>
              <w:bottom w:w="0" w:type="dxa"/>
              <w:right w:w="108" w:type="dxa"/>
            </w:tcMar>
            <w:vAlign w:val="top"/>
          </w:tcPr>
          <w:p>
            <w:pPr>
              <w:rPr>
                <w:highlight w:val="none"/>
              </w:rPr>
            </w:pPr>
            <w:r>
              <w:rPr>
                <w:rFonts w:hint="eastAsia"/>
                <w:highlight w:val="none"/>
              </w:rPr>
              <w:t>支持通过云管理平台，实现申请部署与使用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136" w:type="dxa"/>
            <w:shd w:val="clear" w:color="auto" w:fill="auto"/>
            <w:noWrap w:val="0"/>
            <w:tcMar>
              <w:top w:w="0" w:type="dxa"/>
              <w:left w:w="108" w:type="dxa"/>
              <w:bottom w:w="0" w:type="dxa"/>
              <w:right w:w="108" w:type="dxa"/>
            </w:tcMar>
            <w:vAlign w:val="center"/>
          </w:tcPr>
          <w:p>
            <w:pPr>
              <w:rPr>
                <w:highlight w:val="none"/>
              </w:rPr>
            </w:pPr>
            <w:r>
              <w:rPr>
                <w:rFonts w:hint="eastAsia"/>
                <w:highlight w:val="none"/>
              </w:rPr>
              <w:t>基本需求</w:t>
            </w:r>
          </w:p>
        </w:tc>
        <w:tc>
          <w:tcPr>
            <w:tcW w:w="6386" w:type="dxa"/>
            <w:shd w:val="clear" w:color="auto" w:fill="FFFFFF"/>
            <w:noWrap w:val="0"/>
            <w:tcMar>
              <w:top w:w="0" w:type="dxa"/>
              <w:left w:w="108" w:type="dxa"/>
              <w:bottom w:w="0" w:type="dxa"/>
              <w:right w:w="108" w:type="dxa"/>
            </w:tcMar>
            <w:vAlign w:val="center"/>
          </w:tcPr>
          <w:p>
            <w:pPr>
              <w:rPr>
                <w:highlight w:val="none"/>
              </w:rPr>
            </w:pPr>
            <w:r>
              <w:rPr>
                <w:rFonts w:hint="eastAsia" w:ascii="宋体" w:hAnsi="宋体" w:cs="仿宋_GB2312"/>
                <w:b/>
                <w:bCs/>
                <w:szCs w:val="21"/>
                <w:highlight w:val="none"/>
              </w:rPr>
              <w:t>#</w:t>
            </w:r>
            <w:r>
              <w:rPr>
                <w:rFonts w:hint="eastAsia"/>
                <w:b/>
                <w:bCs/>
                <w:highlight w:val="none"/>
              </w:rPr>
              <w:t>投标人云平台支持通过Web界面对存储文件夹进行增删改查（提供所投产品此项要求的系统截图或其他有效证明文件）</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（2）高性能存储</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指标项</w:t>
            </w:r>
          </w:p>
        </w:tc>
        <w:tc>
          <w:tcPr>
            <w:tcW w:w="6507" w:type="dxa"/>
            <w:noWrap w:val="0"/>
            <w:tcMar>
              <w:top w:w="0" w:type="dxa"/>
              <w:left w:w="108" w:type="dxa"/>
              <w:bottom w:w="0" w:type="dxa"/>
              <w:right w:w="108" w:type="dxa"/>
            </w:tcMar>
            <w:vAlign w:val="top"/>
          </w:tcPr>
          <w:p>
            <w:pPr>
              <w:rPr>
                <w:highlight w:val="none"/>
              </w:rPr>
            </w:pPr>
            <w:r>
              <w:rPr>
                <w:rFonts w:hint="eastAsia"/>
                <w:highlight w:val="none"/>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可靠性要求</w:t>
            </w:r>
          </w:p>
        </w:tc>
        <w:tc>
          <w:tcPr>
            <w:tcW w:w="6507" w:type="dxa"/>
            <w:noWrap w:val="0"/>
            <w:tcMar>
              <w:top w:w="0" w:type="dxa"/>
              <w:left w:w="108" w:type="dxa"/>
              <w:bottom w:w="0" w:type="dxa"/>
              <w:right w:w="108" w:type="dxa"/>
            </w:tcMar>
            <w:vAlign w:val="top"/>
          </w:tcPr>
          <w:p>
            <w:pPr>
              <w:rPr>
                <w:highlight w:val="none"/>
              </w:rPr>
            </w:pPr>
            <w:r>
              <w:rPr>
                <w:rFonts w:hint="eastAsia"/>
                <w:highlight w:val="none"/>
              </w:rPr>
              <w:t>要求稳定可靠，不会因单一部件故障、单一路径故障等原因导致业务停用、数据丢失，系统可靠性99.9999%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性能要求</w:t>
            </w:r>
          </w:p>
        </w:tc>
        <w:tc>
          <w:tcPr>
            <w:tcW w:w="6507" w:type="dxa"/>
            <w:noWrap w:val="0"/>
            <w:tcMar>
              <w:top w:w="0" w:type="dxa"/>
              <w:left w:w="108" w:type="dxa"/>
              <w:bottom w:w="0" w:type="dxa"/>
              <w:right w:w="108" w:type="dxa"/>
            </w:tcMar>
            <w:vAlign w:val="top"/>
          </w:tcPr>
          <w:p>
            <w:pPr>
              <w:rPr>
                <w:highlight w:val="none"/>
              </w:rPr>
            </w:pPr>
            <w:r>
              <w:rPr>
                <w:rFonts w:hint="eastAsia"/>
                <w:highlight w:val="none"/>
              </w:rPr>
              <w:t>单盘技术指标满足IOPS 10000-25000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使用要求</w:t>
            </w:r>
          </w:p>
        </w:tc>
        <w:tc>
          <w:tcPr>
            <w:tcW w:w="6507" w:type="dxa"/>
            <w:noWrap w:val="0"/>
            <w:tcMar>
              <w:top w:w="0" w:type="dxa"/>
              <w:left w:w="108" w:type="dxa"/>
              <w:bottom w:w="0" w:type="dxa"/>
              <w:right w:w="108" w:type="dxa"/>
            </w:tcMar>
            <w:vAlign w:val="top"/>
          </w:tcPr>
          <w:p>
            <w:pPr>
              <w:rPr>
                <w:highlight w:val="none"/>
              </w:rPr>
            </w:pPr>
            <w:r>
              <w:rPr>
                <w:rFonts w:hint="eastAsia"/>
                <w:highlight w:val="none"/>
              </w:rPr>
              <w:t>用户可以以1G为最小单位进行容量申请，并可以申请直接挂载给云主机使用，同时用户可以将申请到的磁盘空间分配给一台或者多台虚拟机/物理机使用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架构要求</w:t>
            </w:r>
          </w:p>
        </w:tc>
        <w:tc>
          <w:tcPr>
            <w:tcW w:w="6507" w:type="dxa"/>
            <w:noWrap w:val="0"/>
            <w:tcMar>
              <w:top w:w="0" w:type="dxa"/>
              <w:left w:w="108" w:type="dxa"/>
              <w:bottom w:w="0" w:type="dxa"/>
              <w:right w:w="108" w:type="dxa"/>
            </w:tcMar>
            <w:vAlign w:val="top"/>
          </w:tcPr>
          <w:p>
            <w:pPr>
              <w:rPr>
                <w:highlight w:val="none"/>
              </w:rPr>
            </w:pPr>
            <w:r>
              <w:rPr>
                <w:rFonts w:hint="eastAsia"/>
                <w:highlight w:val="none"/>
              </w:rPr>
              <w:t>系统整体架构无单点故障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noWrap w:val="0"/>
            <w:tcMar>
              <w:top w:w="0" w:type="dxa"/>
              <w:left w:w="108" w:type="dxa"/>
              <w:bottom w:w="0" w:type="dxa"/>
              <w:right w:w="108" w:type="dxa"/>
            </w:tcMar>
            <w:vAlign w:val="center"/>
          </w:tcPr>
          <w:p>
            <w:pPr>
              <w:rPr>
                <w:highlight w:val="none"/>
              </w:rPr>
            </w:pPr>
            <w:r>
              <w:rPr>
                <w:rFonts w:hint="eastAsia"/>
                <w:highlight w:val="none"/>
              </w:rPr>
              <w:t>可操作性</w:t>
            </w:r>
          </w:p>
        </w:tc>
        <w:tc>
          <w:tcPr>
            <w:tcW w:w="6507" w:type="dxa"/>
            <w:noWrap w:val="0"/>
            <w:tcMar>
              <w:top w:w="0" w:type="dxa"/>
              <w:left w:w="108" w:type="dxa"/>
              <w:bottom w:w="0" w:type="dxa"/>
              <w:right w:w="108" w:type="dxa"/>
            </w:tcMar>
            <w:vAlign w:val="top"/>
          </w:tcPr>
          <w:p>
            <w:pPr>
              <w:rPr>
                <w:highlight w:val="none"/>
              </w:rPr>
            </w:pPr>
            <w:r>
              <w:rPr>
                <w:rFonts w:hint="eastAsia"/>
                <w:highlight w:val="none"/>
              </w:rPr>
              <w:t>支持通过云管理平台，实现申请部署与使用</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（3）静态存储</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54"/>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pPr>
              <w:rPr>
                <w:highlight w:val="none"/>
              </w:rPr>
            </w:pPr>
            <w:r>
              <w:rPr>
                <w:rFonts w:hint="eastAsia"/>
                <w:highlight w:val="none"/>
              </w:rPr>
              <w:t>指标项</w:t>
            </w:r>
          </w:p>
        </w:tc>
        <w:tc>
          <w:tcPr>
            <w:tcW w:w="6468" w:type="dxa"/>
            <w:noWrap w:val="0"/>
            <w:tcMar>
              <w:top w:w="0" w:type="dxa"/>
              <w:left w:w="108" w:type="dxa"/>
              <w:bottom w:w="0" w:type="dxa"/>
              <w:right w:w="108" w:type="dxa"/>
            </w:tcMar>
            <w:vAlign w:val="top"/>
          </w:tcPr>
          <w:p>
            <w:pPr>
              <w:rPr>
                <w:highlight w:val="none"/>
              </w:rPr>
            </w:pPr>
            <w:r>
              <w:rPr>
                <w:rFonts w:hint="eastAsia"/>
                <w:highlight w:val="none"/>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pPr>
              <w:rPr>
                <w:highlight w:val="none"/>
              </w:rPr>
            </w:pPr>
            <w:r>
              <w:rPr>
                <w:rFonts w:hint="eastAsia"/>
                <w:highlight w:val="none"/>
              </w:rPr>
              <w:t>可靠性要求</w:t>
            </w:r>
          </w:p>
        </w:tc>
        <w:tc>
          <w:tcPr>
            <w:tcW w:w="6468" w:type="dxa"/>
            <w:noWrap w:val="0"/>
            <w:tcMar>
              <w:top w:w="0" w:type="dxa"/>
              <w:left w:w="108" w:type="dxa"/>
              <w:bottom w:w="0" w:type="dxa"/>
              <w:right w:w="108" w:type="dxa"/>
            </w:tcMar>
            <w:vAlign w:val="top"/>
          </w:tcPr>
          <w:p>
            <w:pPr>
              <w:rPr>
                <w:highlight w:val="none"/>
              </w:rPr>
            </w:pPr>
            <w:r>
              <w:rPr>
                <w:rFonts w:hint="eastAsia"/>
                <w:highlight w:val="none"/>
              </w:rPr>
              <w:t>提供静态存储服务，要求稳定可靠，结合其他技术，确保数据可靠性99.999%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pPr>
              <w:rPr>
                <w:highlight w:val="none"/>
              </w:rPr>
            </w:pPr>
            <w:r>
              <w:rPr>
                <w:rFonts w:hint="eastAsia"/>
                <w:highlight w:val="none"/>
              </w:rPr>
              <w:t>架构要求</w:t>
            </w:r>
          </w:p>
        </w:tc>
        <w:tc>
          <w:tcPr>
            <w:tcW w:w="6468" w:type="dxa"/>
            <w:noWrap w:val="0"/>
            <w:tcMar>
              <w:top w:w="0" w:type="dxa"/>
              <w:left w:w="108" w:type="dxa"/>
              <w:bottom w:w="0" w:type="dxa"/>
              <w:right w:w="108" w:type="dxa"/>
            </w:tcMar>
            <w:vAlign w:val="top"/>
          </w:tcPr>
          <w:p>
            <w:pPr>
              <w:rPr>
                <w:highlight w:val="none"/>
              </w:rPr>
            </w:pPr>
            <w:r>
              <w:rPr>
                <w:rFonts w:hint="eastAsia"/>
                <w:highlight w:val="none"/>
              </w:rPr>
              <w:t>采用分布式部署架构，具备PB级以上容量扩展能力，支持存储容量和性能的线性扩展，可根据需求迅速完成空间扩展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pPr>
              <w:rPr>
                <w:highlight w:val="none"/>
              </w:rPr>
            </w:pPr>
            <w:r>
              <w:rPr>
                <w:rFonts w:hint="eastAsia"/>
                <w:highlight w:val="none"/>
              </w:rPr>
              <w:t>可操作性</w:t>
            </w:r>
          </w:p>
        </w:tc>
        <w:tc>
          <w:tcPr>
            <w:tcW w:w="6468" w:type="dxa"/>
            <w:noWrap w:val="0"/>
            <w:tcMar>
              <w:top w:w="0" w:type="dxa"/>
              <w:left w:w="108" w:type="dxa"/>
              <w:bottom w:w="0" w:type="dxa"/>
              <w:right w:w="108" w:type="dxa"/>
            </w:tcMar>
            <w:vAlign w:val="top"/>
          </w:tcPr>
          <w:p>
            <w:pPr>
              <w:rPr>
                <w:highlight w:val="none"/>
              </w:rPr>
            </w:pPr>
            <w:r>
              <w:rPr>
                <w:rFonts w:hint="eastAsia"/>
                <w:highlight w:val="none"/>
              </w:rPr>
              <w:t>支持通过云管理平台，实现存储服务的部署与挂载使用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54" w:type="dxa"/>
            <w:noWrap w:val="0"/>
            <w:tcMar>
              <w:top w:w="0" w:type="dxa"/>
              <w:left w:w="108" w:type="dxa"/>
              <w:bottom w:w="0" w:type="dxa"/>
              <w:right w:w="108" w:type="dxa"/>
            </w:tcMar>
            <w:vAlign w:val="center"/>
          </w:tcPr>
          <w:p>
            <w:pPr>
              <w:rPr>
                <w:highlight w:val="none"/>
              </w:rPr>
            </w:pPr>
            <w:r>
              <w:rPr>
                <w:rFonts w:hint="eastAsia"/>
                <w:highlight w:val="none"/>
              </w:rPr>
              <w:t>可操作性</w:t>
            </w:r>
          </w:p>
        </w:tc>
        <w:tc>
          <w:tcPr>
            <w:tcW w:w="6468" w:type="dxa"/>
            <w:noWrap w:val="0"/>
            <w:tcMar>
              <w:top w:w="0" w:type="dxa"/>
              <w:left w:w="108" w:type="dxa"/>
              <w:bottom w:w="0" w:type="dxa"/>
              <w:right w:w="108" w:type="dxa"/>
            </w:tcMar>
            <w:vAlign w:val="top"/>
          </w:tcPr>
          <w:p>
            <w:pPr>
              <w:rPr>
                <w:highlight w:val="none"/>
              </w:rPr>
            </w:pPr>
            <w:r>
              <w:rPr>
                <w:rFonts w:hint="eastAsia"/>
                <w:highlight w:val="none"/>
              </w:rPr>
              <w:t>支持通过云管理平台，实现申请部署与使用</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（4）备份服务</w:t>
      </w:r>
    </w:p>
    <w:p>
      <w:pPr>
        <w:spacing w:line="400" w:lineRule="exact"/>
        <w:ind w:firstLine="480" w:firstLineChars="200"/>
        <w:rPr>
          <w:rFonts w:ascii="宋体" w:hAnsi="宋体" w:cs="宋体"/>
          <w:sz w:val="24"/>
          <w:highlight w:val="none"/>
        </w:rPr>
      </w:pPr>
      <w:r>
        <w:rPr>
          <w:rFonts w:hint="eastAsia" w:ascii="宋体" w:hAnsi="宋体" w:cs="宋体"/>
          <w:sz w:val="24"/>
          <w:highlight w:val="none"/>
        </w:rPr>
        <w:t>通过备份策略实现对用户数据（文件、操作系统、数据库）的本地备份/异地备份（不包含备份存储空间费用），默认提供非结构化数据保护、Windows/Linux/Unix操作系统备份保护及对应平台的数据库、文件备份保护。备份服务应满足如下要求:</w:t>
      </w:r>
    </w:p>
    <w:p>
      <w:pPr>
        <w:spacing w:line="400" w:lineRule="exact"/>
        <w:rPr>
          <w:rFonts w:ascii="宋体" w:hAnsi="宋体" w:cs="宋体"/>
          <w:sz w:val="24"/>
          <w:highlight w:val="none"/>
        </w:rPr>
      </w:pPr>
      <w:r>
        <w:rPr>
          <w:rFonts w:hint="eastAsia" w:ascii="宋体" w:hAnsi="宋体" w:cs="宋体"/>
          <w:sz w:val="24"/>
          <w:highlight w:val="none"/>
        </w:rPr>
        <w:t xml:space="preserve">    （1）备份介质本身具备高可用性和冗余性。</w:t>
      </w:r>
    </w:p>
    <w:p>
      <w:pPr>
        <w:spacing w:line="400" w:lineRule="exact"/>
        <w:rPr>
          <w:rFonts w:ascii="宋体" w:hAnsi="宋体" w:cs="宋体"/>
          <w:sz w:val="24"/>
          <w:highlight w:val="none"/>
        </w:rPr>
      </w:pPr>
      <w:r>
        <w:rPr>
          <w:rFonts w:hint="eastAsia" w:ascii="宋体" w:hAnsi="宋体" w:cs="宋体"/>
          <w:sz w:val="24"/>
          <w:highlight w:val="none"/>
        </w:rPr>
        <w:t xml:space="preserve">    （2）备份方式包括完整备份、差异备份和增量备份。</w:t>
      </w:r>
    </w:p>
    <w:p>
      <w:pPr>
        <w:spacing w:line="400" w:lineRule="exact"/>
        <w:rPr>
          <w:rFonts w:ascii="宋体" w:hAnsi="宋体" w:cs="宋体"/>
          <w:sz w:val="24"/>
          <w:highlight w:val="none"/>
        </w:rPr>
      </w:pPr>
      <w:r>
        <w:rPr>
          <w:rFonts w:hint="eastAsia" w:ascii="宋体" w:hAnsi="宋体" w:cs="宋体"/>
          <w:sz w:val="24"/>
          <w:highlight w:val="none"/>
        </w:rPr>
        <w:t xml:space="preserve">    （3）支持Windows系列操作系统、Linux主流系统操作系统、主流数据库软件、主流中间件软件、结构化数据以及非结构化数据等备份对象。</w:t>
      </w:r>
    </w:p>
    <w:p>
      <w:pPr>
        <w:spacing w:line="400" w:lineRule="exact"/>
        <w:rPr>
          <w:rFonts w:ascii="宋体" w:hAnsi="宋体" w:cs="宋体"/>
          <w:sz w:val="24"/>
          <w:highlight w:val="none"/>
        </w:rPr>
      </w:pPr>
      <w:r>
        <w:rPr>
          <w:rFonts w:hint="eastAsia" w:ascii="宋体" w:hAnsi="宋体" w:cs="宋体"/>
          <w:sz w:val="24"/>
          <w:highlight w:val="none"/>
        </w:rPr>
        <w:t xml:space="preserve">    （4）支持建立统一的备份管理系统，用来管理本地备份和异地备份。</w:t>
      </w:r>
    </w:p>
    <w:p>
      <w:pPr>
        <w:spacing w:line="400" w:lineRule="exact"/>
        <w:ind w:firstLine="547" w:firstLineChars="228"/>
        <w:contextualSpacing/>
        <w:rPr>
          <w:rFonts w:ascii="宋体" w:hAnsi="宋体" w:cs="宋体"/>
          <w:sz w:val="24"/>
          <w:highlight w:val="none"/>
        </w:rPr>
      </w:pPr>
      <w:r>
        <w:rPr>
          <w:rFonts w:hint="eastAsia" w:ascii="宋体" w:hAnsi="宋体" w:cs="宋体"/>
          <w:sz w:val="24"/>
          <w:highlight w:val="none"/>
        </w:rPr>
        <w:t>云服务商应提供对备份过程状态、备份结果提供运维监控保障服务，确保备份任务执行成功以及备份的数据完整性。</w:t>
      </w:r>
    </w:p>
    <w:p>
      <w:pPr>
        <w:spacing w:line="360" w:lineRule="auto"/>
        <w:ind w:firstLine="482" w:firstLineChars="200"/>
        <w:contextualSpacing/>
        <w:outlineLvl w:val="2"/>
        <w:rPr>
          <w:b/>
          <w:bCs/>
          <w:sz w:val="24"/>
          <w:highlight w:val="none"/>
        </w:rPr>
      </w:pPr>
      <w:r>
        <w:rPr>
          <w:rFonts w:hint="eastAsia"/>
          <w:b/>
          <w:bCs/>
          <w:sz w:val="24"/>
          <w:highlight w:val="none"/>
        </w:rPr>
        <w:t>3 网络服务</w:t>
      </w:r>
    </w:p>
    <w:p>
      <w:pPr>
        <w:spacing w:line="360" w:lineRule="auto"/>
        <w:ind w:firstLine="482" w:firstLineChars="200"/>
        <w:contextualSpacing/>
        <w:outlineLvl w:val="3"/>
        <w:rPr>
          <w:b/>
          <w:sz w:val="24"/>
          <w:highlight w:val="none"/>
        </w:rPr>
      </w:pPr>
      <w:r>
        <w:rPr>
          <w:rFonts w:hint="eastAsia"/>
          <w:b/>
          <w:sz w:val="24"/>
          <w:highlight w:val="none"/>
        </w:rPr>
        <w:t>3.1服务内容</w:t>
      </w:r>
    </w:p>
    <w:p>
      <w:pPr>
        <w:pStyle w:val="3"/>
        <w:snapToGrid w:val="0"/>
        <w:ind w:firstLine="480"/>
        <w:rPr>
          <w:rFonts w:hAnsi="宋体" w:cs="宋体"/>
          <w:highlight w:val="none"/>
        </w:rPr>
      </w:pPr>
      <w:r>
        <w:rPr>
          <w:rFonts w:hint="eastAsia" w:hAnsi="宋体" w:cs="宋体"/>
          <w:highlight w:val="none"/>
        </w:rPr>
        <w:t>（1）提供互联网链路带宽服务、互联网IP地址租用服务，并提供相应的网络域名备案服务，配合应用开发厂商提供网络策略配置服务。</w:t>
      </w:r>
    </w:p>
    <w:p>
      <w:pPr>
        <w:pStyle w:val="3"/>
        <w:snapToGrid w:val="0"/>
        <w:ind w:firstLine="480"/>
        <w:rPr>
          <w:rFonts w:hAnsi="宋体" w:cs="宋体"/>
          <w:highlight w:val="none"/>
        </w:rPr>
      </w:pPr>
      <w:r>
        <w:rPr>
          <w:rFonts w:hint="eastAsia" w:hAnsi="宋体" w:cs="宋体"/>
          <w:highlight w:val="none"/>
        </w:rPr>
        <w:t>（2）主机负载均衡服务，通过云管理平台实现每租户按需自动分配负载均衡服务的能力。</w:t>
      </w:r>
    </w:p>
    <w:p>
      <w:pPr>
        <w:pStyle w:val="3"/>
        <w:snapToGrid w:val="0"/>
        <w:ind w:firstLine="480"/>
        <w:rPr>
          <w:rFonts w:hAnsi="宋体" w:cs="宋体"/>
          <w:highlight w:val="none"/>
        </w:rPr>
      </w:pPr>
      <w:r>
        <w:rPr>
          <w:rFonts w:hint="eastAsia" w:hAnsi="宋体" w:cs="宋体"/>
          <w:highlight w:val="none"/>
        </w:rPr>
        <w:t>（3）远程接入服务，提供互联网远程接入服务，每个账号结合身份验证接入堡垒机维护应用系统。</w:t>
      </w:r>
    </w:p>
    <w:p>
      <w:pPr>
        <w:pStyle w:val="3"/>
        <w:snapToGrid w:val="0"/>
        <w:ind w:firstLine="480"/>
        <w:rPr>
          <w:rFonts w:hAnsi="宋体" w:cs="宋体"/>
          <w:highlight w:val="none"/>
        </w:rPr>
      </w:pPr>
      <w:r>
        <w:rPr>
          <w:rFonts w:hint="eastAsia" w:hAnsi="宋体" w:cs="宋体"/>
          <w:highlight w:val="none"/>
        </w:rPr>
        <w:t>（4）WAF防护，针对网站及 Web应用系统提供应用层安全防护，支持各类 SQL注入、XSS 攻击、网页木马、WEBSHELL 等 Web威胁防护。</w:t>
      </w:r>
    </w:p>
    <w:p>
      <w:pPr>
        <w:spacing w:line="360" w:lineRule="auto"/>
        <w:ind w:firstLine="482" w:firstLineChars="200"/>
        <w:contextualSpacing/>
        <w:outlineLvl w:val="3"/>
        <w:rPr>
          <w:b/>
          <w:sz w:val="24"/>
          <w:highlight w:val="none"/>
        </w:rPr>
      </w:pPr>
      <w:r>
        <w:rPr>
          <w:rFonts w:hint="eastAsia"/>
          <w:b/>
          <w:sz w:val="24"/>
          <w:highlight w:val="none"/>
        </w:rPr>
        <w:t>3.2服务标准</w:t>
      </w:r>
    </w:p>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（1）互联网链路服务</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6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top"/>
          </w:tcPr>
          <w:p>
            <w:pPr>
              <w:rPr>
                <w:highlight w:val="none"/>
              </w:rPr>
            </w:pPr>
            <w:r>
              <w:rPr>
                <w:rFonts w:hint="eastAsia"/>
                <w:highlight w:val="none"/>
              </w:rPr>
              <w:t>指标项</w:t>
            </w:r>
          </w:p>
        </w:tc>
        <w:tc>
          <w:tcPr>
            <w:tcW w:w="6417" w:type="dxa"/>
            <w:noWrap w:val="0"/>
            <w:vAlign w:val="top"/>
          </w:tcPr>
          <w:p>
            <w:pPr>
              <w:rPr>
                <w:highlight w:val="none"/>
              </w:rPr>
            </w:pPr>
            <w:r>
              <w:rPr>
                <w:rFonts w:hint="eastAsia"/>
                <w:highlight w:val="none"/>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top"/>
          </w:tcPr>
          <w:p>
            <w:pPr>
              <w:rPr>
                <w:highlight w:val="none"/>
              </w:rPr>
            </w:pPr>
            <w:r>
              <w:rPr>
                <w:rFonts w:hint="eastAsia"/>
                <w:highlight w:val="none"/>
              </w:rPr>
              <w:t>带宽租用服务</w:t>
            </w:r>
          </w:p>
        </w:tc>
        <w:tc>
          <w:tcPr>
            <w:tcW w:w="6417" w:type="dxa"/>
            <w:noWrap w:val="0"/>
            <w:vAlign w:val="top"/>
          </w:tcPr>
          <w:p>
            <w:pPr>
              <w:rPr>
                <w:highlight w:val="none"/>
              </w:rPr>
            </w:pPr>
            <w:r>
              <w:rPr>
                <w:rFonts w:hint="eastAsia"/>
                <w:highlight w:val="none"/>
              </w:rPr>
              <w:t>提供互联网带宽租用服务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top"/>
          </w:tcPr>
          <w:p>
            <w:pPr>
              <w:rPr>
                <w:highlight w:val="none"/>
              </w:rPr>
            </w:pPr>
            <w:r>
              <w:rPr>
                <w:rFonts w:hint="eastAsia"/>
                <w:highlight w:val="none"/>
              </w:rPr>
              <w:t>可靠性要求</w:t>
            </w:r>
          </w:p>
        </w:tc>
        <w:tc>
          <w:tcPr>
            <w:tcW w:w="6417" w:type="dxa"/>
            <w:noWrap w:val="0"/>
            <w:vAlign w:val="top"/>
          </w:tcPr>
          <w:p>
            <w:pPr>
              <w:rPr>
                <w:highlight w:val="none"/>
              </w:rPr>
            </w:pPr>
            <w:r>
              <w:rPr>
                <w:rFonts w:hint="eastAsia"/>
                <w:highlight w:val="none"/>
              </w:rPr>
              <w:t>须提供多线运营商接入服务，保证服务稳定可靠。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center"/>
          </w:tcPr>
          <w:p>
            <w:pPr>
              <w:rPr>
                <w:highlight w:val="none"/>
              </w:rPr>
            </w:pPr>
            <w:r>
              <w:rPr>
                <w:rFonts w:hint="eastAsia"/>
                <w:highlight w:val="none"/>
              </w:rPr>
              <w:t>可操作性</w:t>
            </w:r>
          </w:p>
        </w:tc>
        <w:tc>
          <w:tcPr>
            <w:tcW w:w="6417" w:type="dxa"/>
            <w:noWrap w:val="0"/>
            <w:vAlign w:val="top"/>
          </w:tcPr>
          <w:p>
            <w:pPr>
              <w:rPr>
                <w:highlight w:val="none"/>
              </w:rPr>
            </w:pPr>
            <w:r>
              <w:rPr>
                <w:rFonts w:hint="eastAsia"/>
                <w:highlight w:val="none"/>
              </w:rPr>
              <w:t>支持通过云管理平台，实现申请部署与使用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top"/>
          </w:tcPr>
          <w:p>
            <w:pPr>
              <w:rPr>
                <w:highlight w:val="none"/>
              </w:rPr>
            </w:pPr>
            <w:r>
              <w:rPr>
                <w:rFonts w:hint="eastAsia"/>
                <w:highlight w:val="none"/>
              </w:rPr>
              <w:t>互联网IP地址租用服务</w:t>
            </w:r>
          </w:p>
        </w:tc>
        <w:tc>
          <w:tcPr>
            <w:tcW w:w="6417" w:type="dxa"/>
            <w:noWrap w:val="0"/>
            <w:vAlign w:val="top"/>
          </w:tcPr>
          <w:p>
            <w:pPr>
              <w:rPr>
                <w:highlight w:val="none"/>
              </w:rPr>
            </w:pPr>
            <w:r>
              <w:rPr>
                <w:rFonts w:hint="eastAsia"/>
                <w:highlight w:val="none"/>
              </w:rPr>
              <w:t>可提供IPV4/IPV6互联网IP 地址租用服务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center"/>
          </w:tcPr>
          <w:p>
            <w:pPr>
              <w:adjustRightInd w:val="0"/>
              <w:textAlignment w:val="baseline"/>
              <w:rPr>
                <w:highlight w:val="none"/>
              </w:rPr>
            </w:pPr>
            <w:r>
              <w:rPr>
                <w:rFonts w:hint="eastAsia" w:ascii="宋体" w:hAnsi="宋体"/>
                <w:kern w:val="0"/>
                <w:szCs w:val="21"/>
                <w:highlight w:val="none"/>
              </w:rPr>
              <w:t>网站域名备案服务</w:t>
            </w:r>
          </w:p>
        </w:tc>
        <w:tc>
          <w:tcPr>
            <w:tcW w:w="6417" w:type="dxa"/>
            <w:noWrap w:val="0"/>
            <w:vAlign w:val="top"/>
          </w:tcPr>
          <w:p>
            <w:pPr>
              <w:adjustRightInd w:val="0"/>
              <w:textAlignment w:val="baseline"/>
              <w:rPr>
                <w:highlight w:val="none"/>
              </w:rPr>
            </w:pPr>
            <w:r>
              <w:rPr>
                <w:rFonts w:hint="eastAsia" w:ascii="宋体" w:hAnsi="宋体"/>
                <w:b/>
                <w:bCs/>
                <w:kern w:val="0"/>
                <w:szCs w:val="21"/>
                <w:highlight w:val="none"/>
              </w:rPr>
              <w:t>#提供在线网站域名备案服务，提供投标人域名备案网站页面截图及网站链接</w:t>
            </w:r>
            <w:r>
              <w:rPr>
                <w:rFonts w:hint="eastAsia" w:ascii="宋体" w:hAnsi="宋体" w:cs="仿宋_GB2312"/>
                <w:b/>
                <w:bCs/>
                <w:szCs w:val="21"/>
                <w:highlight w:val="none"/>
              </w:rPr>
              <w:t>（提供截图证明文件）</w:t>
            </w:r>
            <w:r>
              <w:rPr>
                <w:rFonts w:hint="eastAsia" w:ascii="宋体" w:hAnsi="宋体"/>
                <w:b/>
                <w:bCs/>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5" w:type="dxa"/>
            <w:noWrap w:val="0"/>
            <w:vAlign w:val="center"/>
          </w:tcPr>
          <w:p>
            <w:pPr>
              <w:rPr>
                <w:highlight w:val="none"/>
              </w:rPr>
            </w:pPr>
            <w:r>
              <w:rPr>
                <w:rFonts w:hint="eastAsia"/>
                <w:highlight w:val="none"/>
              </w:rPr>
              <w:t>可操作性</w:t>
            </w:r>
          </w:p>
        </w:tc>
        <w:tc>
          <w:tcPr>
            <w:tcW w:w="6417" w:type="dxa"/>
            <w:noWrap w:val="0"/>
            <w:vAlign w:val="top"/>
          </w:tcPr>
          <w:p>
            <w:pPr>
              <w:rPr>
                <w:highlight w:val="none"/>
              </w:rPr>
            </w:pPr>
            <w:r>
              <w:rPr>
                <w:rFonts w:hint="eastAsia"/>
                <w:highlight w:val="none"/>
              </w:rPr>
              <w:t>支持通过云管理平台，实现申请部署与使用</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（2）主机负载均衡服务</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指标项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服务能力</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通过云管理平台实现针每租户按需自动分配负载均衡服务的能力。总体峰值可支持每秒新建链接数不少于40万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均衡策略</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支持加权轮询(Weighted Round Robin)、加权最小连接数调度(Weighted Least-Connection Scheduling)等流量分发策略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健康检查</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可以按照指定规则对配置的虚拟主机进行健康检查，自动隔离异常状态虚拟主机，确保可用性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会话（Session）保持</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可对虚拟主机提供TCP/HTTP协议的负载均衡服务，并提供会话保持功能，在会话生命周期内，将同一会话请求转发到同一台后端虚拟主机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高可用性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采用全冗余或集群架构，无单点故障；平均可用性不低于99.99%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转发规则</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提供多种转发规则，满足不同业务场景的要求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扩展性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支持在线平滑升级，承载能力和网络总带宽同步线性扩容；可与虚拟主机配合提供三层架构系统的弹性扩展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可操作性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支持通过云管理平台，实现申请部署与使用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2"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协议支持</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提供 4 层（TCP 协议）和 7 层（HTTP 和 HTTPS 协议）的负载均衡服务</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（3）远程接入服务</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3"/>
        <w:gridCol w:w="6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指标项</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6"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功能要求</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提供堡垒机远程接入服务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9" w:hRule="atLeast"/>
          <w:jc w:val="center"/>
        </w:trPr>
        <w:tc>
          <w:tcPr>
            <w:tcW w:w="2113"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运维审计</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字符操作审计、图形操作审计、文件操作审计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113" w:type="dxa"/>
            <w:vMerge w:val="restart"/>
            <w:tcBorders>
              <w:top w:val="single" w:color="000000" w:sz="4" w:space="0"/>
              <w:left w:val="single" w:color="000000" w:sz="4" w:space="0"/>
              <w:right w:val="single" w:color="000000" w:sz="4" w:space="0"/>
            </w:tcBorders>
            <w:noWrap w:val="0"/>
            <w:vAlign w:val="center"/>
          </w:tcPr>
          <w:p>
            <w:pPr>
              <w:rPr>
                <w:highlight w:val="none"/>
              </w:rPr>
            </w:pPr>
            <w:r>
              <w:rPr>
                <w:rFonts w:hint="eastAsia"/>
                <w:highlight w:val="none"/>
              </w:rPr>
              <w:t>访问控制</w:t>
            </w: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支持基于IP/IP段、用户/用户组、资产/资产组、协议、危险级别等组合策略进行访问控制，对于不合法的行为予以阻断；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0"/>
            <w:vAlign w:val="center"/>
          </w:tcPr>
          <w:p>
            <w:pPr>
              <w:rPr>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可基于运维账号的登陆时间和资产登陆时间进行访问控制；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right w:val="single" w:color="000000" w:sz="4" w:space="0"/>
            </w:tcBorders>
            <w:noWrap w:val="0"/>
            <w:vAlign w:val="center"/>
          </w:tcPr>
          <w:p>
            <w:pPr>
              <w:rPr>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可基于运维操作命令进行访问控制；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8" w:hRule="atLeast"/>
          <w:jc w:val="center"/>
        </w:trPr>
        <w:tc>
          <w:tcPr>
            <w:tcW w:w="2113" w:type="dxa"/>
            <w:vMerge w:val="continue"/>
            <w:tcBorders>
              <w:left w:val="single" w:color="000000" w:sz="4" w:space="0"/>
              <w:bottom w:val="single" w:color="000000" w:sz="4" w:space="0"/>
              <w:right w:val="single" w:color="000000" w:sz="4" w:space="0"/>
            </w:tcBorders>
            <w:noWrap w:val="0"/>
            <w:vAlign w:val="center"/>
          </w:tcPr>
          <w:p>
            <w:pPr>
              <w:rPr>
                <w:highlight w:val="none"/>
              </w:rPr>
            </w:pPr>
          </w:p>
        </w:tc>
        <w:tc>
          <w:tcPr>
            <w:tcW w:w="6409"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可基于主机、用户、IP地址控制审计日志的访问权限；</w:t>
            </w:r>
          </w:p>
        </w:tc>
      </w:tr>
    </w:tbl>
    <w:p>
      <w:pPr>
        <w:widowControl/>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（4）WAF防护</w:t>
      </w:r>
    </w:p>
    <w:tbl>
      <w:tblPr>
        <w:tblStyle w:val="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8"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指标项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检测算法</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可精确识别包括注入、XSS等OWASP Top 10 WEB通用攻击，有效应对盗链、跨站请求伪造等WEB特殊攻击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部署方式</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可以通过透明串接或反向代理、路由模式等方式接入网络中，即可对应用层HTTP流量进行安全防护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黑名单</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通过预定义策略及自定义规则，进行规则匹配，阻断异常流量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pPr>
              <w:rPr>
                <w:highlight w:val="none"/>
              </w:rPr>
            </w:pPr>
            <w:r>
              <w:rPr>
                <w:rFonts w:hint="eastAsia"/>
                <w:highlight w:val="none"/>
              </w:rPr>
              <w:t>可操作性</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pPr>
              <w:rPr>
                <w:highlight w:val="none"/>
              </w:rPr>
            </w:pPr>
            <w:r>
              <w:rPr>
                <w:rFonts w:hint="eastAsia"/>
                <w:highlight w:val="none"/>
              </w:rPr>
              <w:t>支持通过云管理平台，实现申请部署与使用</w:t>
            </w:r>
          </w:p>
        </w:tc>
      </w:tr>
    </w:tbl>
    <w:p>
      <w:pPr>
        <w:spacing w:line="360" w:lineRule="auto"/>
        <w:ind w:firstLine="482" w:firstLineChars="200"/>
        <w:contextualSpacing/>
        <w:outlineLvl w:val="2"/>
        <w:rPr>
          <w:b/>
          <w:bCs/>
          <w:sz w:val="24"/>
          <w:highlight w:val="none"/>
        </w:rPr>
      </w:pPr>
      <w:bookmarkStart w:id="2" w:name="_Toc1700"/>
      <w:r>
        <w:rPr>
          <w:rFonts w:hint="eastAsia"/>
          <w:b/>
          <w:bCs/>
          <w:sz w:val="24"/>
          <w:highlight w:val="none"/>
        </w:rPr>
        <w:t>4 基础软硬件支撑服务</w:t>
      </w:r>
      <w:bookmarkEnd w:id="2"/>
    </w:p>
    <w:p>
      <w:pPr>
        <w:spacing w:line="360" w:lineRule="auto"/>
        <w:ind w:firstLine="482" w:firstLineChars="200"/>
        <w:contextualSpacing/>
        <w:outlineLvl w:val="3"/>
        <w:rPr>
          <w:b/>
          <w:sz w:val="24"/>
          <w:highlight w:val="none"/>
        </w:rPr>
      </w:pPr>
      <w:r>
        <w:rPr>
          <w:rFonts w:hint="eastAsia"/>
          <w:b/>
          <w:sz w:val="24"/>
          <w:highlight w:val="none"/>
        </w:rPr>
        <w:t>4.1服务内容</w:t>
      </w:r>
    </w:p>
    <w:p>
      <w:pPr>
        <w:pStyle w:val="3"/>
        <w:snapToGrid w:val="0"/>
        <w:ind w:firstLine="480"/>
        <w:rPr>
          <w:rFonts w:hAnsi="宋体" w:cs="宋体"/>
          <w:highlight w:val="none"/>
        </w:rPr>
      </w:pPr>
      <w:r>
        <w:rPr>
          <w:rFonts w:hint="eastAsia" w:hAnsi="宋体" w:cs="宋体"/>
          <w:highlight w:val="none"/>
        </w:rPr>
        <w:t>按照采购人的有关管理规定及具体需求，提供对象存储、商用操作系统等支撑服务。</w:t>
      </w:r>
    </w:p>
    <w:p>
      <w:pPr>
        <w:spacing w:line="360" w:lineRule="auto"/>
        <w:ind w:firstLine="482" w:firstLineChars="200"/>
        <w:contextualSpacing/>
        <w:outlineLvl w:val="3"/>
        <w:rPr>
          <w:b/>
          <w:sz w:val="24"/>
          <w:highlight w:val="none"/>
        </w:rPr>
      </w:pPr>
      <w:r>
        <w:rPr>
          <w:rFonts w:hint="eastAsia"/>
          <w:b/>
          <w:sz w:val="24"/>
          <w:highlight w:val="none"/>
        </w:rPr>
        <w:t>4.2服务标准</w:t>
      </w:r>
    </w:p>
    <w:p>
      <w:pPr>
        <w:pStyle w:val="3"/>
        <w:snapToGrid w:val="0"/>
        <w:ind w:firstLine="480"/>
        <w:rPr>
          <w:rFonts w:hAnsi="宋体" w:cs="宋体"/>
          <w:highlight w:val="none"/>
        </w:rPr>
      </w:pPr>
      <w:r>
        <w:rPr>
          <w:rFonts w:hint="eastAsia" w:hAnsi="宋体" w:cs="宋体"/>
          <w:highlight w:val="none"/>
        </w:rPr>
        <w:t>（1）对象存储</w:t>
      </w:r>
    </w:p>
    <w:tbl>
      <w:tblPr>
        <w:tblStyle w:val="4"/>
        <w:tblW w:w="92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9"/>
        <w:gridCol w:w="7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439" w:type="dxa"/>
            <w:noWrap w:val="0"/>
            <w:vAlign w:val="center"/>
          </w:tcPr>
          <w:p>
            <w:pPr>
              <w:rPr>
                <w:highlight w:val="none"/>
              </w:rPr>
            </w:pPr>
            <w:r>
              <w:rPr>
                <w:rFonts w:hint="eastAsia"/>
                <w:highlight w:val="none"/>
              </w:rPr>
              <w:t>指标项</w:t>
            </w:r>
          </w:p>
        </w:tc>
        <w:tc>
          <w:tcPr>
            <w:tcW w:w="7846" w:type="dxa"/>
            <w:noWrap w:val="0"/>
            <w:vAlign w:val="center"/>
          </w:tcPr>
          <w:p>
            <w:pPr>
              <w:rPr>
                <w:highlight w:val="none"/>
              </w:rPr>
            </w:pPr>
            <w:r>
              <w:rPr>
                <w:rFonts w:hint="eastAsia"/>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39" w:type="dxa"/>
            <w:vMerge w:val="restart"/>
            <w:noWrap w:val="0"/>
            <w:vAlign w:val="center"/>
          </w:tcPr>
          <w:p>
            <w:pPr>
              <w:rPr>
                <w:highlight w:val="none"/>
              </w:rPr>
            </w:pPr>
            <w:r>
              <w:rPr>
                <w:rFonts w:hint="eastAsia"/>
                <w:highlight w:val="none"/>
              </w:rPr>
              <w:t>基本要求</w:t>
            </w:r>
          </w:p>
        </w:tc>
        <w:tc>
          <w:tcPr>
            <w:tcW w:w="7846" w:type="dxa"/>
            <w:noWrap w:val="0"/>
            <w:vAlign w:val="center"/>
          </w:tcPr>
          <w:p>
            <w:pPr>
              <w:rPr>
                <w:highlight w:val="none"/>
              </w:rPr>
            </w:pPr>
            <w:r>
              <w:rPr>
                <w:rFonts w:hint="eastAsia"/>
                <w:highlight w:val="none"/>
              </w:rPr>
              <w:t>投标人对象存储技术，采用基于服务器本地硬盘提供对象存储资源池。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39" w:type="dxa"/>
            <w:vMerge w:val="continue"/>
            <w:noWrap w:val="0"/>
            <w:vAlign w:val="center"/>
          </w:tcPr>
          <w:p>
            <w:pPr>
              <w:rPr>
                <w:highlight w:val="none"/>
              </w:rPr>
            </w:pPr>
          </w:p>
        </w:tc>
        <w:tc>
          <w:tcPr>
            <w:tcW w:w="7846" w:type="dxa"/>
            <w:noWrap w:val="0"/>
            <w:vAlign w:val="center"/>
          </w:tcPr>
          <w:p>
            <w:pPr>
              <w:rPr>
                <w:highlight w:val="none"/>
              </w:rPr>
            </w:pPr>
            <w:r>
              <w:rPr>
                <w:rFonts w:hint="eastAsia"/>
                <w:highlight w:val="none"/>
              </w:rPr>
              <w:t>本地数据零丢失，提供备份数据内容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39" w:type="dxa"/>
            <w:vMerge w:val="continue"/>
            <w:noWrap w:val="0"/>
            <w:vAlign w:val="center"/>
          </w:tcPr>
          <w:p>
            <w:pPr>
              <w:rPr>
                <w:highlight w:val="none"/>
              </w:rPr>
            </w:pPr>
          </w:p>
        </w:tc>
        <w:tc>
          <w:tcPr>
            <w:tcW w:w="7846" w:type="dxa"/>
            <w:noWrap w:val="0"/>
            <w:vAlign w:val="center"/>
          </w:tcPr>
          <w:p>
            <w:pPr>
              <w:rPr>
                <w:highlight w:val="none"/>
              </w:rPr>
            </w:pPr>
            <w:r>
              <w:rPr>
                <w:rFonts w:hint="eastAsia"/>
                <w:highlight w:val="none"/>
              </w:rPr>
              <w:t>支持NFS，CIFS，SAMBA等协议，可进行跨平台文件共享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1439" w:type="dxa"/>
            <w:vMerge w:val="continue"/>
            <w:noWrap w:val="0"/>
            <w:vAlign w:val="center"/>
          </w:tcPr>
          <w:p>
            <w:pPr>
              <w:rPr>
                <w:highlight w:val="none"/>
              </w:rPr>
            </w:pPr>
          </w:p>
        </w:tc>
        <w:tc>
          <w:tcPr>
            <w:tcW w:w="7846" w:type="dxa"/>
            <w:noWrap w:val="0"/>
            <w:vAlign w:val="top"/>
          </w:tcPr>
          <w:p>
            <w:pPr>
              <w:rPr>
                <w:highlight w:val="none"/>
              </w:rPr>
            </w:pPr>
            <w:r>
              <w:rPr>
                <w:rFonts w:hint="eastAsia"/>
                <w:highlight w:val="none"/>
              </w:rPr>
              <w:t>支持存储快照，对系统盘、磁盘数据生成备份，快速恢复数据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1439" w:type="dxa"/>
            <w:vMerge w:val="continue"/>
            <w:noWrap w:val="0"/>
            <w:vAlign w:val="center"/>
          </w:tcPr>
          <w:p>
            <w:pPr>
              <w:rPr>
                <w:highlight w:val="none"/>
              </w:rPr>
            </w:pPr>
          </w:p>
        </w:tc>
        <w:tc>
          <w:tcPr>
            <w:tcW w:w="7846" w:type="dxa"/>
            <w:noWrap w:val="0"/>
            <w:vAlign w:val="top"/>
          </w:tcPr>
          <w:p>
            <w:pPr>
              <w:rPr>
                <w:highlight w:val="none"/>
              </w:rPr>
            </w:pPr>
            <w:r>
              <w:rPr>
                <w:rFonts w:hint="eastAsia"/>
                <w:highlight w:val="none"/>
              </w:rPr>
              <w:t>支持云磁盘的创建、删除、挂载到一个特定的虚拟机，作为用户的数据盘使用，支持逻辑卷快照及恢复，支持逻辑卷按需扩容</w:t>
            </w:r>
          </w:p>
        </w:tc>
      </w:tr>
    </w:tbl>
    <w:p>
      <w:pPr>
        <w:pStyle w:val="3"/>
        <w:snapToGrid w:val="0"/>
        <w:ind w:firstLine="480"/>
        <w:rPr>
          <w:rFonts w:hAnsi="宋体" w:cs="宋体"/>
          <w:highlight w:val="none"/>
        </w:rPr>
      </w:pPr>
      <w:r>
        <w:rPr>
          <w:rFonts w:hint="eastAsia" w:hAnsi="宋体" w:cs="宋体"/>
          <w:highlight w:val="none"/>
        </w:rPr>
        <w:t>（2）商用操作系统套餐</w:t>
      </w:r>
    </w:p>
    <w:p>
      <w:pPr>
        <w:pStyle w:val="3"/>
        <w:snapToGrid w:val="0"/>
        <w:ind w:firstLine="480"/>
        <w:rPr>
          <w:rFonts w:hAnsi="宋体" w:cs="宋体"/>
          <w:highlight w:val="none"/>
        </w:rPr>
      </w:pPr>
      <w:r>
        <w:rPr>
          <w:rFonts w:hint="eastAsia" w:hAnsi="宋体" w:cs="宋体"/>
          <w:highlight w:val="none"/>
        </w:rPr>
        <w:t>提供主流商业操作系统服务，支持Windows Server、国产Linux操作系统（银河麒麟/中标麒麟/统信等）的各种主流版本，并提供操作系统的安装部署和各种故障处理。</w:t>
      </w:r>
    </w:p>
    <w:p>
      <w:pPr>
        <w:spacing w:line="360" w:lineRule="auto"/>
        <w:ind w:firstLine="482" w:firstLineChars="200"/>
        <w:contextualSpacing/>
        <w:outlineLvl w:val="2"/>
        <w:rPr>
          <w:b/>
          <w:bCs/>
          <w:sz w:val="24"/>
          <w:highlight w:val="none"/>
        </w:rPr>
      </w:pPr>
      <w:r>
        <w:rPr>
          <w:rFonts w:hint="eastAsia"/>
          <w:b/>
          <w:bCs/>
          <w:sz w:val="24"/>
          <w:highlight w:val="none"/>
        </w:rPr>
        <w:t>5 服务及培训要求</w:t>
      </w:r>
    </w:p>
    <w:p>
      <w:pPr>
        <w:widowControl/>
        <w:adjustRightInd w:val="0"/>
        <w:snapToGrid w:val="0"/>
        <w:spacing w:line="360" w:lineRule="auto"/>
        <w:ind w:firstLine="480" w:firstLineChars="200"/>
        <w:rPr>
          <w:sz w:val="24"/>
          <w:highlight w:val="none"/>
        </w:rPr>
      </w:pPr>
      <w:r>
        <w:rPr>
          <w:rFonts w:hint="eastAsia"/>
          <w:sz w:val="24"/>
          <w:highlight w:val="none"/>
        </w:rPr>
        <w:t>（1）日常运维服务</w:t>
      </w:r>
    </w:p>
    <w:p>
      <w:pPr>
        <w:widowControl/>
        <w:adjustRightInd w:val="0"/>
        <w:snapToGrid w:val="0"/>
        <w:spacing w:line="360" w:lineRule="auto"/>
        <w:ind w:firstLine="480" w:firstLineChars="200"/>
        <w:rPr>
          <w:sz w:val="24"/>
          <w:highlight w:val="none"/>
        </w:rPr>
      </w:pPr>
      <w:r>
        <w:rPr>
          <w:rFonts w:hint="eastAsia"/>
          <w:sz w:val="24"/>
          <w:highlight w:val="none"/>
        </w:rPr>
        <w:t>投标人需利用监控系统或人工对硬件设备及应用系统的运行情况进行7*24小时的不间断巡检监控，及时发现安全隐患，通知相关人员及时处理，并形成监控报告。</w:t>
      </w:r>
    </w:p>
    <w:p>
      <w:pPr>
        <w:widowControl/>
        <w:adjustRightInd w:val="0"/>
        <w:snapToGrid w:val="0"/>
        <w:spacing w:line="360" w:lineRule="auto"/>
        <w:ind w:firstLine="480" w:firstLineChars="200"/>
        <w:rPr>
          <w:sz w:val="24"/>
          <w:highlight w:val="none"/>
        </w:rPr>
      </w:pPr>
      <w:r>
        <w:rPr>
          <w:rFonts w:hint="eastAsia"/>
          <w:sz w:val="24"/>
          <w:highlight w:val="none"/>
        </w:rPr>
        <w:t>投标人负责设立技术支持热线，并安排专人值守，为北京市水务局提供7*24小时热线支持服务。</w:t>
      </w:r>
    </w:p>
    <w:p>
      <w:pPr>
        <w:widowControl/>
        <w:adjustRightInd w:val="0"/>
        <w:snapToGrid w:val="0"/>
        <w:spacing w:line="360" w:lineRule="auto"/>
        <w:ind w:firstLine="480" w:firstLineChars="200"/>
        <w:rPr>
          <w:sz w:val="24"/>
          <w:highlight w:val="none"/>
        </w:rPr>
      </w:pPr>
      <w:r>
        <w:rPr>
          <w:rFonts w:hint="eastAsia"/>
          <w:sz w:val="24"/>
          <w:highlight w:val="none"/>
        </w:rPr>
        <w:t>（2）故障响应服务</w:t>
      </w:r>
    </w:p>
    <w:p>
      <w:pPr>
        <w:widowControl/>
        <w:adjustRightInd w:val="0"/>
        <w:snapToGrid w:val="0"/>
        <w:spacing w:line="360" w:lineRule="auto"/>
        <w:ind w:firstLine="480" w:firstLineChars="200"/>
        <w:rPr>
          <w:sz w:val="24"/>
          <w:highlight w:val="none"/>
        </w:rPr>
      </w:pPr>
      <w:r>
        <w:rPr>
          <w:rFonts w:hint="eastAsia"/>
          <w:sz w:val="24"/>
          <w:highlight w:val="none"/>
        </w:rPr>
        <w:t>投标人应当提供高效的维护服务，有效防范系统风险，投标人需保持7*24小时电话畅通。系统发生宕机问题时，投标人应在10分钟内响应，在30分钟之内使系统恢复正常，故障处理完毕后提供相关系统宕机报告。</w:t>
      </w:r>
    </w:p>
    <w:p>
      <w:pPr>
        <w:widowControl/>
        <w:adjustRightInd w:val="0"/>
        <w:snapToGrid w:val="0"/>
        <w:spacing w:line="360" w:lineRule="auto"/>
        <w:ind w:firstLine="480" w:firstLineChars="200"/>
        <w:rPr>
          <w:sz w:val="24"/>
          <w:highlight w:val="none"/>
        </w:rPr>
      </w:pPr>
      <w:r>
        <w:rPr>
          <w:rFonts w:hint="eastAsia"/>
          <w:sz w:val="24"/>
          <w:highlight w:val="none"/>
        </w:rPr>
        <w:t>（3）特殊时期保障服务</w:t>
      </w:r>
    </w:p>
    <w:p>
      <w:pPr>
        <w:widowControl/>
        <w:adjustRightInd w:val="0"/>
        <w:snapToGrid w:val="0"/>
        <w:spacing w:line="360" w:lineRule="auto"/>
        <w:ind w:firstLine="480" w:firstLineChars="200"/>
        <w:rPr>
          <w:sz w:val="24"/>
          <w:highlight w:val="none"/>
        </w:rPr>
      </w:pPr>
      <w:r>
        <w:rPr>
          <w:rFonts w:hint="eastAsia"/>
          <w:sz w:val="24"/>
          <w:highlight w:val="none"/>
        </w:rPr>
        <w:t>投标人应在春节、五一、国庆、汛期（6月1日-9月15日）以及全国（含北京）重大活动</w:t>
      </w:r>
      <w:r>
        <w:rPr>
          <w:rFonts w:hint="eastAsia"/>
          <w:sz w:val="24"/>
          <w:highlight w:val="none"/>
          <w:lang w:eastAsia="zh-CN"/>
        </w:rPr>
        <w:t>和</w:t>
      </w:r>
      <w:r>
        <w:rPr>
          <w:rFonts w:hint="eastAsia"/>
          <w:sz w:val="24"/>
          <w:highlight w:val="none"/>
        </w:rPr>
        <w:t>重要时期，从技术人员到云平台保障等方面大运维保障力度，以确保政务云上信息系统在敏感时期安全稳定运行，</w:t>
      </w:r>
      <w:r>
        <w:rPr>
          <w:rFonts w:hint="eastAsia"/>
          <w:sz w:val="24"/>
          <w:highlight w:val="none"/>
          <w:lang w:eastAsia="zh-CN"/>
        </w:rPr>
        <w:t>不发生</w:t>
      </w:r>
      <w:r>
        <w:rPr>
          <w:rFonts w:hint="eastAsia"/>
          <w:sz w:val="24"/>
          <w:highlight w:val="none"/>
        </w:rPr>
        <w:t>中断</w:t>
      </w:r>
      <w:r>
        <w:rPr>
          <w:rFonts w:hint="eastAsia"/>
          <w:sz w:val="24"/>
          <w:highlight w:val="none"/>
          <w:lang w:eastAsia="zh-CN"/>
        </w:rPr>
        <w:t>故障</w:t>
      </w:r>
      <w:r>
        <w:rPr>
          <w:rFonts w:hint="eastAsia"/>
          <w:sz w:val="24"/>
          <w:highlight w:val="none"/>
        </w:rPr>
        <w:t>。</w:t>
      </w:r>
    </w:p>
    <w:p>
      <w:pPr>
        <w:widowControl/>
        <w:adjustRightInd w:val="0"/>
        <w:snapToGrid w:val="0"/>
        <w:spacing w:line="360" w:lineRule="auto"/>
        <w:ind w:firstLine="480" w:firstLineChars="200"/>
        <w:rPr>
          <w:sz w:val="24"/>
          <w:highlight w:val="none"/>
        </w:rPr>
      </w:pPr>
      <w:r>
        <w:rPr>
          <w:rFonts w:hint="eastAsia"/>
          <w:sz w:val="24"/>
          <w:highlight w:val="none"/>
          <w:lang w:eastAsia="zh-CN"/>
        </w:rPr>
        <w:t>尤其在汛期期间，</w:t>
      </w:r>
      <w:r>
        <w:rPr>
          <w:rFonts w:hint="eastAsia"/>
          <w:sz w:val="24"/>
          <w:highlight w:val="none"/>
        </w:rPr>
        <w:t>为缓解</w:t>
      </w:r>
      <w:r>
        <w:rPr>
          <w:rFonts w:hint="eastAsia"/>
          <w:sz w:val="24"/>
          <w:highlight w:val="none"/>
          <w:lang w:eastAsia="zh-CN"/>
        </w:rPr>
        <w:t>防汛业务</w:t>
      </w:r>
      <w:r>
        <w:rPr>
          <w:rFonts w:hint="eastAsia"/>
          <w:sz w:val="24"/>
          <w:highlight w:val="none"/>
        </w:rPr>
        <w:t>系统因业务量</w:t>
      </w:r>
      <w:r>
        <w:rPr>
          <w:rFonts w:hint="eastAsia"/>
          <w:sz w:val="24"/>
          <w:highlight w:val="none"/>
          <w:lang w:eastAsia="zh-CN"/>
        </w:rPr>
        <w:t>激增</w:t>
      </w:r>
      <w:r>
        <w:rPr>
          <w:rFonts w:hint="eastAsia"/>
          <w:sz w:val="24"/>
          <w:highlight w:val="none"/>
        </w:rPr>
        <w:t>而带来压力风险，要求投标人根据</w:t>
      </w:r>
      <w:r>
        <w:rPr>
          <w:rFonts w:hint="eastAsia"/>
          <w:sz w:val="24"/>
          <w:highlight w:val="none"/>
          <w:lang w:eastAsia="zh-CN"/>
        </w:rPr>
        <w:t>防汛</w:t>
      </w:r>
      <w:r>
        <w:rPr>
          <w:rFonts w:hint="eastAsia"/>
          <w:sz w:val="24"/>
          <w:highlight w:val="none"/>
        </w:rPr>
        <w:t>业务周期性特点，加大运维保障力度，</w:t>
      </w:r>
      <w:r>
        <w:rPr>
          <w:rFonts w:hint="eastAsia"/>
          <w:sz w:val="24"/>
          <w:highlight w:val="none"/>
          <w:lang w:eastAsia="zh-CN"/>
        </w:rPr>
        <w:t>动态合理分配各系统云资源，</w:t>
      </w:r>
      <w:r>
        <w:rPr>
          <w:rFonts w:hint="eastAsia"/>
          <w:sz w:val="24"/>
          <w:highlight w:val="none"/>
        </w:rPr>
        <w:t>保证</w:t>
      </w:r>
      <w:r>
        <w:rPr>
          <w:rFonts w:hint="eastAsia"/>
          <w:sz w:val="24"/>
          <w:highlight w:val="none"/>
          <w:lang w:eastAsia="zh-CN"/>
        </w:rPr>
        <w:t>防汛</w:t>
      </w:r>
      <w:r>
        <w:rPr>
          <w:rFonts w:hint="eastAsia"/>
          <w:sz w:val="24"/>
          <w:highlight w:val="none"/>
        </w:rPr>
        <w:t>业务</w:t>
      </w:r>
      <w:r>
        <w:rPr>
          <w:rFonts w:hint="eastAsia"/>
          <w:sz w:val="24"/>
          <w:highlight w:val="none"/>
          <w:lang w:eastAsia="zh-CN"/>
        </w:rPr>
        <w:t>系统</w:t>
      </w:r>
      <w:r>
        <w:rPr>
          <w:rFonts w:hint="eastAsia"/>
          <w:sz w:val="24"/>
          <w:highlight w:val="none"/>
        </w:rPr>
        <w:t>高峰期内平稳运行。</w:t>
      </w:r>
    </w:p>
    <w:p>
      <w:pPr>
        <w:widowControl/>
        <w:adjustRightInd w:val="0"/>
        <w:snapToGrid w:val="0"/>
        <w:spacing w:line="360" w:lineRule="auto"/>
        <w:ind w:firstLine="480" w:firstLineChars="200"/>
        <w:rPr>
          <w:sz w:val="24"/>
          <w:highlight w:val="none"/>
        </w:rPr>
      </w:pPr>
      <w:r>
        <w:rPr>
          <w:rFonts w:hint="eastAsia"/>
          <w:sz w:val="24"/>
          <w:highlight w:val="none"/>
        </w:rPr>
        <w:t>（4）部署迁移服务</w:t>
      </w:r>
    </w:p>
    <w:p>
      <w:pPr>
        <w:widowControl/>
        <w:adjustRightInd w:val="0"/>
        <w:snapToGrid w:val="0"/>
        <w:spacing w:line="360" w:lineRule="auto"/>
        <w:ind w:firstLine="480" w:firstLineChars="200"/>
        <w:rPr>
          <w:sz w:val="24"/>
          <w:highlight w:val="none"/>
        </w:rPr>
      </w:pPr>
      <w:r>
        <w:rPr>
          <w:rFonts w:hint="eastAsia"/>
          <w:sz w:val="24"/>
          <w:highlight w:val="none"/>
        </w:rPr>
        <w:t>目前所有系统已在云上稳定运行，如因政务云服务商变更造成云迁移（应用系统、数据、主机等的迁移），投标人应在合同签订后，3个工作日内完成云基础资源发放及迁移相关的网络、存储等云资源配置（含测试环境），5个工作日内，完成系统迁移工作，系统中断时间不得超过5小时。云服务商应具备同时应对多使用单位、多信息系统同时迁移入云的服务支撑能力、资源快速扩容能力、快速迁移工具支持能力，具备成熟的迁移工具，对多系统集中迁移可能出现的难点、风险有较为充分的预判并提出解决对策。迁移过程中产生的所有费用由投标人承担。如投标人未在规定时间内完成系统迁移，采购人有权与其解除合同并要求其赔偿采购人相应损失。同时本次采购的中标人有义务配合下一年度中标人完成政务云上业务系统迁移（如需）等工作。</w:t>
      </w:r>
    </w:p>
    <w:p>
      <w:pPr>
        <w:widowControl/>
        <w:adjustRightInd w:val="0"/>
        <w:snapToGrid w:val="0"/>
        <w:spacing w:line="360" w:lineRule="auto"/>
        <w:ind w:firstLine="480" w:firstLineChars="200"/>
        <w:rPr>
          <w:sz w:val="24"/>
          <w:highlight w:val="none"/>
        </w:rPr>
      </w:pPr>
      <w:r>
        <w:rPr>
          <w:rFonts w:hint="eastAsia"/>
          <w:sz w:val="24"/>
          <w:highlight w:val="none"/>
        </w:rPr>
        <w:t>（5）云主机操作培训</w:t>
      </w:r>
    </w:p>
    <w:p>
      <w:pPr>
        <w:widowControl/>
        <w:adjustRightInd w:val="0"/>
        <w:snapToGrid w:val="0"/>
        <w:spacing w:line="360" w:lineRule="auto"/>
        <w:ind w:firstLine="480" w:firstLineChars="200"/>
        <w:rPr>
          <w:sz w:val="24"/>
          <w:highlight w:val="none"/>
        </w:rPr>
      </w:pPr>
      <w:r>
        <w:rPr>
          <w:rFonts w:hint="eastAsia"/>
          <w:sz w:val="24"/>
          <w:highlight w:val="none"/>
        </w:rPr>
        <w:t>为有效提升市水务局应用系统管理人员的工作效率，投标人需向采购人提供包括但不限于政务云计算服务、网络服务、远程接入等内容的培训，具体培训内容根据采购人需求确定，培训次数不少于1次。</w:t>
      </w:r>
    </w:p>
    <w:p>
      <w:pPr>
        <w:widowControl/>
        <w:adjustRightInd w:val="0"/>
        <w:snapToGrid w:val="0"/>
        <w:spacing w:line="360" w:lineRule="auto"/>
        <w:ind w:firstLine="480" w:firstLineChars="200"/>
        <w:rPr>
          <w:sz w:val="24"/>
          <w:highlight w:val="none"/>
        </w:rPr>
      </w:pPr>
      <w:r>
        <w:rPr>
          <w:rFonts w:hint="eastAsia"/>
          <w:sz w:val="24"/>
          <w:highlight w:val="none"/>
        </w:rPr>
        <w:t>（6）管理咨询服务</w:t>
      </w:r>
    </w:p>
    <w:p>
      <w:pPr>
        <w:spacing w:line="360" w:lineRule="auto"/>
        <w:ind w:firstLine="480" w:firstLineChars="200"/>
        <w:contextualSpacing/>
        <w:rPr>
          <w:sz w:val="24"/>
          <w:highlight w:val="none"/>
        </w:rPr>
      </w:pPr>
      <w:r>
        <w:rPr>
          <w:rFonts w:hint="eastAsia"/>
          <w:sz w:val="24"/>
          <w:highlight w:val="none"/>
        </w:rPr>
        <w:t>供应商应为采购人提供其云上业务管理咨询服务，配合、协助采购人修订原有管理办法，并严格执行。</w:t>
      </w:r>
    </w:p>
    <w:p>
      <w:pPr>
        <w:widowControl/>
        <w:adjustRightInd w:val="0"/>
        <w:snapToGrid w:val="0"/>
        <w:spacing w:line="360" w:lineRule="auto"/>
        <w:ind w:firstLine="480"/>
        <w:contextualSpacing/>
        <w:rPr>
          <w:sz w:val="24"/>
          <w:highlight w:val="none"/>
        </w:rPr>
      </w:pPr>
      <w:r>
        <w:rPr>
          <w:rFonts w:hint="eastAsia"/>
          <w:sz w:val="24"/>
          <w:highlight w:val="none"/>
        </w:rPr>
        <w:t>（7）项目团队要求</w:t>
      </w:r>
    </w:p>
    <w:p>
      <w:pPr>
        <w:widowControl/>
        <w:adjustRightInd w:val="0"/>
        <w:snapToGrid w:val="0"/>
        <w:spacing w:line="360" w:lineRule="auto"/>
        <w:ind w:firstLine="480" w:firstLineChars="200"/>
        <w:rPr>
          <w:sz w:val="24"/>
          <w:highlight w:val="none"/>
        </w:rPr>
      </w:pPr>
      <w:r>
        <w:rPr>
          <w:rFonts w:hint="eastAsia"/>
          <w:sz w:val="24"/>
          <w:highlight w:val="none"/>
        </w:rPr>
        <w:t>投标人针对本项目提供专业性强，高效稳定的项目服务保障团队，为本项目云资源服务提供稳定支撑。投标人应分别配备经验丰富的项目经理和团队执行人员，人员相关要求如下：</w:t>
      </w:r>
    </w:p>
    <w:p>
      <w:pPr>
        <w:widowControl/>
        <w:adjustRightInd w:val="0"/>
        <w:snapToGrid w:val="0"/>
        <w:spacing w:line="360" w:lineRule="auto"/>
        <w:ind w:firstLine="480" w:firstLineChars="200"/>
        <w:rPr>
          <w:sz w:val="24"/>
          <w:highlight w:val="none"/>
        </w:rPr>
      </w:pPr>
      <w:r>
        <w:rPr>
          <w:rFonts w:hint="eastAsia"/>
          <w:sz w:val="24"/>
          <w:highlight w:val="none"/>
        </w:rPr>
        <w:t>项目经理应具备丰富的政务云实施服务管理经验，</w:t>
      </w:r>
      <w:r>
        <w:rPr>
          <w:rFonts w:hint="eastAsia"/>
          <w:sz w:val="24"/>
          <w:highlight w:val="none"/>
          <w:lang w:eastAsia="zh-CN"/>
        </w:rPr>
        <w:t>具有</w:t>
      </w:r>
      <w:r>
        <w:rPr>
          <w:rFonts w:hint="eastAsia" w:ascii="宋体" w:hAnsi="宋体" w:cs="宋体"/>
          <w:sz w:val="24"/>
          <w:highlight w:val="none"/>
        </w:rPr>
        <w:t>信息系统项目管理师（高级）证书</w:t>
      </w:r>
      <w:r>
        <w:rPr>
          <w:rFonts w:hint="eastAsia" w:ascii="宋体" w:hAnsi="宋体"/>
          <w:sz w:val="24"/>
          <w:highlight w:val="none"/>
          <w:lang w:eastAsia="zh-CN"/>
        </w:rPr>
        <w:t>或</w:t>
      </w:r>
      <w:r>
        <w:rPr>
          <w:rFonts w:hint="eastAsia" w:ascii="宋体" w:hAnsi="宋体"/>
          <w:sz w:val="24"/>
          <w:highlight w:val="none"/>
        </w:rPr>
        <w:t>系统架构设计师（高级）</w:t>
      </w:r>
      <w:r>
        <w:rPr>
          <w:rFonts w:hint="eastAsia" w:ascii="宋体" w:hAnsi="宋体" w:cs="宋体"/>
          <w:sz w:val="24"/>
          <w:highlight w:val="none"/>
        </w:rPr>
        <w:t>，</w:t>
      </w:r>
      <w:r>
        <w:rPr>
          <w:rFonts w:hint="eastAsia"/>
          <w:sz w:val="24"/>
          <w:highlight w:val="none"/>
        </w:rPr>
        <w:t>负责本项目规划和管理，</w:t>
      </w:r>
      <w:r>
        <w:rPr>
          <w:rFonts w:ascii="宋体" w:hAnsi="宋体"/>
          <w:kern w:val="0"/>
          <w:sz w:val="24"/>
          <w:szCs w:val="20"/>
          <w:highlight w:val="none"/>
          <w:shd w:val="clear" w:color="auto" w:fill="FFFFFF"/>
        </w:rPr>
        <w:t>全面负责项目的</w:t>
      </w:r>
      <w:r>
        <w:rPr>
          <w:rFonts w:hint="eastAsia" w:ascii="宋体" w:hAnsi="宋体"/>
          <w:kern w:val="0"/>
          <w:sz w:val="24"/>
          <w:szCs w:val="20"/>
          <w:highlight w:val="none"/>
          <w:shd w:val="clear" w:color="auto" w:fill="FFFFFF"/>
        </w:rPr>
        <w:t>实施</w:t>
      </w:r>
      <w:r>
        <w:rPr>
          <w:rFonts w:ascii="宋体" w:hAnsi="宋体"/>
          <w:kern w:val="0"/>
          <w:sz w:val="24"/>
          <w:szCs w:val="20"/>
          <w:highlight w:val="none"/>
          <w:shd w:val="clear" w:color="auto" w:fill="FFFFFF"/>
        </w:rPr>
        <w:t>、质量管理及</w:t>
      </w:r>
      <w:r>
        <w:rPr>
          <w:rFonts w:hint="eastAsia" w:ascii="宋体" w:hAnsi="宋体"/>
          <w:kern w:val="0"/>
          <w:sz w:val="24"/>
          <w:szCs w:val="20"/>
          <w:highlight w:val="none"/>
          <w:shd w:val="clear" w:color="auto" w:fill="FFFFFF"/>
        </w:rPr>
        <w:t>与</w:t>
      </w:r>
      <w:r>
        <w:rPr>
          <w:rFonts w:hint="eastAsia"/>
          <w:sz w:val="24"/>
          <w:highlight w:val="none"/>
        </w:rPr>
        <w:t>采购人沟通</w:t>
      </w:r>
      <w:r>
        <w:rPr>
          <w:rFonts w:ascii="宋体" w:hAnsi="宋体"/>
          <w:kern w:val="0"/>
          <w:sz w:val="24"/>
          <w:szCs w:val="20"/>
          <w:highlight w:val="none"/>
          <w:shd w:val="clear" w:color="auto" w:fill="FFFFFF"/>
        </w:rPr>
        <w:t>协调工作。</w:t>
      </w:r>
      <w:r>
        <w:rPr>
          <w:rFonts w:hint="eastAsia" w:ascii="宋体" w:hAnsi="宋体"/>
          <w:kern w:val="0"/>
          <w:sz w:val="24"/>
          <w:szCs w:val="20"/>
          <w:highlight w:val="none"/>
          <w:shd w:val="clear" w:color="auto" w:fill="FFFFFF"/>
        </w:rPr>
        <w:t>包括但不限于</w:t>
      </w:r>
      <w:r>
        <w:rPr>
          <w:rFonts w:hint="eastAsia"/>
          <w:sz w:val="24"/>
          <w:highlight w:val="none"/>
        </w:rPr>
        <w:t>领导项目团队，分配任务，组织培训，提升团队技能和协作；与采购人和项目团队内部保持沟通，协调资源和技术问题；识别项目风险，监控项目质量和进度，并及时调整策略。</w:t>
      </w:r>
    </w:p>
    <w:p>
      <w:pPr>
        <w:widowControl/>
        <w:adjustRightInd w:val="0"/>
        <w:snapToGrid w:val="0"/>
        <w:spacing w:line="360" w:lineRule="auto"/>
        <w:ind w:firstLine="480" w:firstLineChars="200"/>
        <w:rPr>
          <w:sz w:val="24"/>
          <w:highlight w:val="none"/>
        </w:rPr>
      </w:pPr>
      <w:r>
        <w:rPr>
          <w:rFonts w:hint="eastAsia"/>
          <w:sz w:val="24"/>
          <w:highlight w:val="none"/>
        </w:rPr>
        <w:t>项目组其他成员应具备丰富的政务云实施服务经验，掌握网络安全、系统架构等技能，主要人员</w:t>
      </w:r>
      <w:r>
        <w:rPr>
          <w:rFonts w:hint="eastAsia" w:ascii="宋体" w:hAnsi="宋体"/>
          <w:sz w:val="24"/>
          <w:highlight w:val="none"/>
        </w:rPr>
        <w:t>具有系统架构设计师（高级）、信息安全工程师、网络工程师（中级）</w:t>
      </w:r>
      <w:r>
        <w:rPr>
          <w:rFonts w:hint="eastAsia" w:ascii="宋体" w:hAnsi="宋体"/>
          <w:sz w:val="24"/>
          <w:highlight w:val="none"/>
          <w:lang w:eastAsia="zh-CN"/>
        </w:rPr>
        <w:t>、</w:t>
      </w:r>
      <w:r>
        <w:rPr>
          <w:rFonts w:hint="eastAsia" w:ascii="宋体" w:hAnsi="宋体"/>
          <w:sz w:val="24"/>
          <w:highlight w:val="none"/>
        </w:rPr>
        <w:t>网络规划设计师（高级）资格证书，</w:t>
      </w:r>
      <w:r>
        <w:rPr>
          <w:rFonts w:hint="eastAsia"/>
          <w:sz w:val="24"/>
          <w:highlight w:val="none"/>
        </w:rPr>
        <w:t>负责但不限于以下职责：</w:t>
      </w:r>
    </w:p>
    <w:p>
      <w:pPr>
        <w:widowControl/>
        <w:snapToGrid w:val="0"/>
        <w:spacing w:line="360" w:lineRule="auto"/>
        <w:ind w:firstLine="480" w:firstLineChars="200"/>
        <w:rPr>
          <w:highlight w:val="none"/>
        </w:rPr>
      </w:pPr>
      <w:r>
        <w:rPr>
          <w:rFonts w:hint="eastAsia"/>
          <w:sz w:val="24"/>
          <w:highlight w:val="none"/>
        </w:rPr>
        <w:t>提供政务云服务的日常维护、运行状态监控、处理故障、技术支持、协助部署和调试应用系统；评估、审批和实施配置变更，确保合规性和稳定性；制定数据备份策略，执行备份和恢复；收集云主机性能指标和运行数据，实时监控资源使用和应用性能；分析监控数据，生成报告，支持决策制定等。</w:t>
      </w:r>
    </w:p>
    <w:p>
      <w:pPr>
        <w:spacing w:line="360" w:lineRule="auto"/>
        <w:contextualSpacing/>
        <w:outlineLvl w:val="1"/>
        <w:rPr>
          <w:b/>
          <w:sz w:val="24"/>
          <w:highlight w:val="none"/>
        </w:rPr>
      </w:pPr>
      <w:r>
        <w:rPr>
          <w:rFonts w:hint="eastAsia"/>
          <w:b/>
          <w:sz w:val="24"/>
          <w:highlight w:val="none"/>
        </w:rPr>
        <w:t>（三）验收服务标准</w:t>
      </w:r>
    </w:p>
    <w:p>
      <w:pPr>
        <w:widowControl/>
        <w:spacing w:line="360" w:lineRule="auto"/>
        <w:ind w:firstLine="482" w:firstLineChars="200"/>
        <w:contextualSpacing/>
        <w:outlineLvl w:val="2"/>
        <w:rPr>
          <w:b/>
          <w:bCs/>
          <w:sz w:val="24"/>
          <w:highlight w:val="none"/>
        </w:rPr>
      </w:pPr>
      <w:r>
        <w:rPr>
          <w:rFonts w:hint="eastAsia"/>
          <w:b/>
          <w:bCs/>
          <w:sz w:val="24"/>
          <w:highlight w:val="none"/>
        </w:rPr>
        <w:t>1. 服务绩效指标</w:t>
      </w:r>
    </w:p>
    <w:p>
      <w:pPr>
        <w:widowControl/>
        <w:adjustRightInd w:val="0"/>
        <w:snapToGrid w:val="0"/>
        <w:spacing w:line="360" w:lineRule="auto"/>
        <w:ind w:firstLine="480" w:firstLineChars="200"/>
        <w:rPr>
          <w:sz w:val="24"/>
          <w:highlight w:val="none"/>
        </w:rPr>
      </w:pPr>
      <w:r>
        <w:rPr>
          <w:rFonts w:hint="eastAsia"/>
          <w:sz w:val="24"/>
          <w:highlight w:val="none"/>
        </w:rPr>
        <w:t>（1）云服务服务期内整体可用性应不低于99.99%，数据可靠性应不低于99.9999%；</w:t>
      </w:r>
    </w:p>
    <w:p>
      <w:pPr>
        <w:widowControl/>
        <w:adjustRightInd w:val="0"/>
        <w:snapToGrid w:val="0"/>
        <w:spacing w:line="360" w:lineRule="auto"/>
        <w:ind w:firstLine="480" w:firstLineChars="200"/>
        <w:rPr>
          <w:sz w:val="24"/>
          <w:highlight w:val="none"/>
        </w:rPr>
      </w:pPr>
      <w:r>
        <w:rPr>
          <w:rFonts w:hint="eastAsia"/>
          <w:sz w:val="24"/>
          <w:highlight w:val="none"/>
        </w:rPr>
        <w:t>（2）故障响应率100%；</w:t>
      </w:r>
    </w:p>
    <w:p>
      <w:pPr>
        <w:widowControl/>
        <w:adjustRightInd w:val="0"/>
        <w:snapToGrid w:val="0"/>
        <w:spacing w:line="360" w:lineRule="auto"/>
        <w:ind w:firstLine="480" w:firstLineChars="200"/>
        <w:rPr>
          <w:sz w:val="24"/>
          <w:highlight w:val="none"/>
        </w:rPr>
      </w:pPr>
      <w:r>
        <w:rPr>
          <w:rFonts w:hint="eastAsia"/>
          <w:sz w:val="24"/>
          <w:highlight w:val="none"/>
        </w:rPr>
        <w:t>（3）应急响应时间≤10分钟（重大事件1分钟内响应）。</w:t>
      </w:r>
    </w:p>
    <w:p>
      <w:pPr>
        <w:widowControl/>
        <w:spacing w:line="360" w:lineRule="auto"/>
        <w:ind w:firstLine="482" w:firstLineChars="200"/>
        <w:contextualSpacing/>
        <w:outlineLvl w:val="2"/>
        <w:rPr>
          <w:b/>
          <w:bCs/>
          <w:sz w:val="24"/>
          <w:highlight w:val="none"/>
        </w:rPr>
      </w:pPr>
      <w:r>
        <w:rPr>
          <w:rFonts w:hint="eastAsia"/>
          <w:b/>
          <w:bCs/>
          <w:sz w:val="24"/>
          <w:highlight w:val="none"/>
        </w:rPr>
        <w:t>2. 项目验收要求</w:t>
      </w:r>
    </w:p>
    <w:p>
      <w:pPr>
        <w:widowControl/>
        <w:adjustRightInd w:val="0"/>
        <w:snapToGrid w:val="0"/>
        <w:spacing w:line="360" w:lineRule="auto"/>
        <w:ind w:firstLine="480" w:firstLineChars="200"/>
        <w:rPr>
          <w:sz w:val="24"/>
          <w:highlight w:val="none"/>
        </w:rPr>
      </w:pPr>
      <w:r>
        <w:rPr>
          <w:rFonts w:hint="eastAsia"/>
          <w:sz w:val="24"/>
          <w:highlight w:val="none"/>
        </w:rPr>
        <w:t>（1）投标人所提供的北京市市级政务云基础资源服务应遵循客观、科学、合理的原则，符合《北京市市级政务云管理办法》的相关标准及要求。</w:t>
      </w:r>
    </w:p>
    <w:p>
      <w:pPr>
        <w:widowControl/>
        <w:adjustRightInd w:val="0"/>
        <w:snapToGrid w:val="0"/>
        <w:spacing w:line="360" w:lineRule="auto"/>
        <w:ind w:firstLine="480" w:firstLineChars="200"/>
        <w:rPr>
          <w:sz w:val="24"/>
          <w:highlight w:val="none"/>
        </w:rPr>
      </w:pPr>
      <w:r>
        <w:rPr>
          <w:rFonts w:hint="eastAsia"/>
          <w:sz w:val="24"/>
          <w:highlight w:val="none"/>
        </w:rPr>
        <w:t>（2）投标人所提供资源应满足采购文件规定的要求。保证合同期内系统安全稳定运行，不因硬件故障导致累计服务中断23小时及以上。</w:t>
      </w:r>
    </w:p>
    <w:p>
      <w:pPr>
        <w:widowControl/>
        <w:adjustRightInd w:val="0"/>
        <w:snapToGrid w:val="0"/>
        <w:spacing w:line="360" w:lineRule="auto"/>
        <w:ind w:firstLine="480" w:firstLineChars="200"/>
        <w:rPr>
          <w:sz w:val="24"/>
          <w:highlight w:val="none"/>
        </w:rPr>
      </w:pPr>
      <w:r>
        <w:rPr>
          <w:rFonts w:hint="eastAsia"/>
          <w:sz w:val="24"/>
          <w:highlight w:val="none"/>
        </w:rPr>
        <w:t>（3）</w:t>
      </w:r>
      <w:r>
        <w:rPr>
          <w:rFonts w:hint="eastAsia"/>
          <w:sz w:val="24"/>
          <w:highlight w:val="none"/>
          <w:lang w:val="zh-CN" w:bidi="ar"/>
        </w:rPr>
        <w:t>供应商于合同服务期结束后的15个工作日内向采购人提交验收申请及项目验收材料，采购人在收到验收申请后的5个工作日内，确定具体验收日期。</w:t>
      </w:r>
      <w:r>
        <w:rPr>
          <w:rFonts w:hint="eastAsia"/>
          <w:sz w:val="24"/>
          <w:highlight w:val="none"/>
        </w:rPr>
        <w:t>投标人应当在采购人指定的验收日前向采购人提交验收报告。验收报告的内容包括但不限于，合同规定的各项服务清单，各系统设备运行情况。</w:t>
      </w:r>
    </w:p>
    <w:p>
      <w:pPr>
        <w:widowControl/>
        <w:adjustRightInd w:val="0"/>
        <w:snapToGrid w:val="0"/>
        <w:spacing w:line="360" w:lineRule="auto"/>
        <w:ind w:firstLine="480" w:firstLineChars="200"/>
        <w:contextualSpacing/>
        <w:rPr>
          <w:sz w:val="24"/>
          <w:highlight w:val="none"/>
        </w:rPr>
      </w:pPr>
      <w:r>
        <w:rPr>
          <w:rFonts w:hint="eastAsia"/>
          <w:sz w:val="24"/>
          <w:highlight w:val="none"/>
        </w:rPr>
        <w:t>（4）服务期届满，投标人按照采购人要求完成所有项目，各项记录、报告等文档齐全，无任何系统遗留问题，并通过由采购人组织的专家验收评审，方可通过验收。</w:t>
      </w:r>
    </w:p>
    <w:p>
      <w:pPr>
        <w:spacing w:line="360" w:lineRule="auto"/>
        <w:contextualSpacing/>
        <w:outlineLvl w:val="1"/>
        <w:rPr>
          <w:b/>
          <w:sz w:val="24"/>
          <w:highlight w:val="none"/>
        </w:rPr>
      </w:pPr>
      <w:r>
        <w:rPr>
          <w:rFonts w:hint="eastAsia"/>
          <w:b/>
          <w:sz w:val="24"/>
          <w:highlight w:val="none"/>
        </w:rPr>
        <w:t>（四）其他要求</w:t>
      </w:r>
    </w:p>
    <w:p>
      <w:pPr>
        <w:widowControl/>
        <w:spacing w:line="360" w:lineRule="auto"/>
        <w:ind w:firstLine="482" w:firstLineChars="200"/>
        <w:contextualSpacing/>
        <w:outlineLvl w:val="2"/>
        <w:rPr>
          <w:b/>
          <w:bCs/>
          <w:sz w:val="24"/>
          <w:highlight w:val="none"/>
        </w:rPr>
      </w:pPr>
      <w:r>
        <w:rPr>
          <w:rFonts w:hint="eastAsia"/>
          <w:b/>
          <w:bCs/>
          <w:sz w:val="24"/>
          <w:highlight w:val="none"/>
        </w:rPr>
        <w:t>1. 保密要求</w:t>
      </w:r>
    </w:p>
    <w:p>
      <w:pPr>
        <w:widowControl/>
        <w:adjustRightInd w:val="0"/>
        <w:snapToGrid w:val="0"/>
        <w:spacing w:line="360" w:lineRule="auto"/>
        <w:ind w:firstLine="480" w:firstLineChars="200"/>
        <w:rPr>
          <w:sz w:val="24"/>
          <w:highlight w:val="none"/>
        </w:rPr>
      </w:pPr>
      <w:r>
        <w:rPr>
          <w:rFonts w:hint="eastAsia"/>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widowControl/>
        <w:adjustRightInd w:val="0"/>
        <w:snapToGrid w:val="0"/>
        <w:spacing w:line="360" w:lineRule="auto"/>
        <w:ind w:firstLine="480" w:firstLineChars="200"/>
        <w:rPr>
          <w:sz w:val="24"/>
          <w:highlight w:val="none"/>
        </w:rPr>
      </w:pPr>
      <w:r>
        <w:rPr>
          <w:rFonts w:hint="eastAsia"/>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widowControl/>
        <w:adjustRightInd w:val="0"/>
        <w:snapToGrid w:val="0"/>
        <w:spacing w:line="360" w:lineRule="auto"/>
        <w:ind w:firstLine="480" w:firstLineChars="200"/>
        <w:rPr>
          <w:sz w:val="24"/>
          <w:highlight w:val="none"/>
        </w:rPr>
      </w:pPr>
      <w:r>
        <w:rPr>
          <w:rFonts w:hint="eastAsia"/>
          <w:sz w:val="24"/>
          <w:highlight w:val="none"/>
        </w:rPr>
        <w:t>（3）投标人保证将保密信息的披露范围严格控制在直接从事该项目工作且因工作需要有必要知悉保密信息的工作人员范围内,对投标人非从事该项目的人员一律严格保密。</w:t>
      </w:r>
    </w:p>
    <w:p>
      <w:pPr>
        <w:widowControl/>
        <w:adjustRightInd w:val="0"/>
        <w:snapToGrid w:val="0"/>
        <w:spacing w:line="360" w:lineRule="auto"/>
        <w:ind w:firstLine="480" w:firstLineChars="200"/>
        <w:rPr>
          <w:sz w:val="24"/>
          <w:highlight w:val="none"/>
        </w:rPr>
      </w:pPr>
      <w:r>
        <w:rPr>
          <w:rFonts w:hint="eastAsia"/>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widowControl/>
        <w:adjustRightInd w:val="0"/>
        <w:snapToGrid w:val="0"/>
        <w:spacing w:line="360" w:lineRule="auto"/>
        <w:ind w:firstLine="480" w:firstLineChars="200"/>
        <w:rPr>
          <w:sz w:val="24"/>
          <w:highlight w:val="none"/>
        </w:rPr>
      </w:pPr>
      <w:r>
        <w:rPr>
          <w:rFonts w:hint="eastAsia"/>
          <w:sz w:val="24"/>
          <w:highlight w:val="none"/>
        </w:rPr>
        <w:t>（5）任何时间内，一经采购人提出要求，投标人应按照采购人指示在收到采购人书面通知后 5 日内将含有保密信息的所有文件或其他资料归还采购人，且不得擅自复制留存。</w:t>
      </w:r>
    </w:p>
    <w:p>
      <w:pPr>
        <w:widowControl/>
        <w:adjustRightInd w:val="0"/>
        <w:snapToGrid w:val="0"/>
        <w:spacing w:line="360" w:lineRule="auto"/>
        <w:ind w:firstLine="480" w:firstLineChars="200"/>
        <w:rPr>
          <w:sz w:val="24"/>
          <w:highlight w:val="none"/>
        </w:rPr>
      </w:pPr>
      <w:r>
        <w:rPr>
          <w:rFonts w:hint="eastAsia"/>
          <w:sz w:val="24"/>
          <w:highlight w:val="none"/>
        </w:rPr>
        <w:t>（6）非经采购人特别授权，采购人向投标人提供的任何保密信息并不包括授予投标人该保密信息包含的任何专利权、商标权、著作权、商业秘密或其它类型的知识产权。</w:t>
      </w:r>
    </w:p>
    <w:p>
      <w:pPr>
        <w:widowControl/>
        <w:adjustRightInd w:val="0"/>
        <w:snapToGrid w:val="0"/>
        <w:spacing w:line="360" w:lineRule="auto"/>
        <w:ind w:firstLine="480" w:firstLineChars="200"/>
        <w:rPr>
          <w:sz w:val="24"/>
          <w:highlight w:val="none"/>
        </w:rPr>
      </w:pPr>
      <w:r>
        <w:rPr>
          <w:rFonts w:hint="eastAsia"/>
          <w:sz w:val="24"/>
          <w:highlight w:val="none"/>
        </w:rPr>
        <w:t>（7）投标人承担上述保密义务的期限为合同有效期间及合同终止后2年，承担上述保密义务的责任主体为投标人（含投标人服务人员）。</w:t>
      </w:r>
    </w:p>
    <w:p>
      <w:pPr>
        <w:widowControl/>
        <w:adjustRightInd w:val="0"/>
        <w:snapToGrid w:val="0"/>
        <w:spacing w:line="360" w:lineRule="auto"/>
        <w:ind w:firstLine="480" w:firstLineChars="200"/>
        <w:rPr>
          <w:sz w:val="24"/>
          <w:highlight w:val="none"/>
        </w:rPr>
      </w:pPr>
      <w:r>
        <w:rPr>
          <w:rFonts w:hint="eastAsia"/>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pPr>
        <w:widowControl/>
        <w:adjustRightInd w:val="0"/>
        <w:snapToGrid w:val="0"/>
        <w:spacing w:line="360" w:lineRule="auto"/>
        <w:ind w:firstLine="480"/>
        <w:contextualSpacing/>
        <w:rPr>
          <w:sz w:val="24"/>
          <w:highlight w:val="none"/>
        </w:rPr>
      </w:pPr>
      <w:r>
        <w:rPr>
          <w:rFonts w:hint="eastAsia"/>
          <w:sz w:val="24"/>
          <w:highlight w:val="none"/>
        </w:rPr>
        <w:t>（9）投标人应当对获悉的政务数据、个人信息等予以保密，不得用于其他用途，不得泄露、出售或者非法向他人提供。</w:t>
      </w:r>
    </w:p>
    <w:p>
      <w:pPr>
        <w:widowControl/>
        <w:spacing w:line="360" w:lineRule="auto"/>
        <w:ind w:firstLine="482" w:firstLineChars="200"/>
        <w:contextualSpacing/>
        <w:outlineLvl w:val="2"/>
        <w:rPr>
          <w:b/>
          <w:bCs/>
          <w:sz w:val="24"/>
          <w:highlight w:val="none"/>
        </w:rPr>
      </w:pPr>
      <w:r>
        <w:rPr>
          <w:rFonts w:hint="eastAsia"/>
          <w:b/>
          <w:bCs/>
          <w:sz w:val="24"/>
          <w:highlight w:val="none"/>
        </w:rPr>
        <w:t>2. 知识产权要求</w:t>
      </w:r>
    </w:p>
    <w:p>
      <w:pPr>
        <w:widowControl/>
        <w:adjustRightInd w:val="0"/>
        <w:snapToGrid w:val="0"/>
        <w:spacing w:line="360" w:lineRule="auto"/>
        <w:ind w:firstLine="480" w:firstLineChars="200"/>
        <w:rPr>
          <w:sz w:val="24"/>
          <w:highlight w:val="none"/>
        </w:rPr>
      </w:pPr>
      <w:r>
        <w:rPr>
          <w:rFonts w:hint="eastAsia"/>
          <w:sz w:val="24"/>
          <w:highlight w:val="none"/>
        </w:rPr>
        <w:t>（1）投标人应确保本项目所提交成果无知识产权纠纷，项目成果的知识产权属于项目委托方。须在响应文件中对此项作出专项承诺，格式自拟。</w:t>
      </w:r>
    </w:p>
    <w:p>
      <w:pPr>
        <w:widowControl/>
        <w:adjustRightInd w:val="0"/>
        <w:snapToGrid w:val="0"/>
        <w:spacing w:line="360" w:lineRule="auto"/>
        <w:ind w:firstLine="480" w:firstLineChars="200"/>
        <w:jc w:val="left"/>
        <w:rPr>
          <w:rFonts w:hint="eastAsia"/>
          <w:sz w:val="24"/>
          <w:highlight w:val="none"/>
        </w:rPr>
      </w:pPr>
      <w:r>
        <w:rPr>
          <w:rFonts w:hint="eastAsia"/>
          <w:sz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pPr>
        <w:widowControl/>
        <w:adjustRightInd w:val="0"/>
        <w:snapToGrid w:val="0"/>
        <w:spacing w:line="360" w:lineRule="auto"/>
        <w:ind w:firstLine="482" w:firstLineChars="200"/>
        <w:jc w:val="left"/>
        <w:rPr>
          <w:rFonts w:hint="eastAsia" w:eastAsia="宋体"/>
          <w:b/>
          <w:bCs/>
          <w:sz w:val="24"/>
          <w:highlight w:val="none"/>
          <w:lang w:val="en-US" w:eastAsia="zh-CN"/>
        </w:rPr>
      </w:pPr>
      <w:r>
        <w:rPr>
          <w:rFonts w:hint="eastAsia"/>
          <w:b/>
          <w:bCs/>
          <w:sz w:val="24"/>
          <w:highlight w:val="none"/>
          <w:lang w:val="en-US" w:eastAsia="zh-CN"/>
        </w:rPr>
        <w:t>3、文档要求</w:t>
      </w:r>
    </w:p>
    <w:p>
      <w:pPr>
        <w:widowControl/>
        <w:adjustRightInd w:val="0"/>
        <w:snapToGrid w:val="0"/>
        <w:spacing w:line="360" w:lineRule="auto"/>
        <w:ind w:firstLine="480" w:firstLineChars="20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汛期及全年运行维护服务结束后，投标人按要求提交服务总结报告，对汛期及全年工作进行总结，服务总结报告内容包括但不限于采购需求服务内容中要求的服务成果文件以及期间开展工作的过程记录等，以便采购人全面准确的了解维护服务实施情况。</w:t>
      </w:r>
    </w:p>
    <w:p>
      <w:pPr>
        <w:pStyle w:val="7"/>
        <w:spacing w:line="360" w:lineRule="auto"/>
        <w:ind w:left="0" w:leftChars="0" w:firstLine="480"/>
        <w:jc w:val="left"/>
        <w:rPr>
          <w:rFonts w:hint="eastAsia" w:ascii="宋体" w:hAnsi="宋体" w:cs="宋体"/>
          <w:highlight w:val="none"/>
        </w:rPr>
      </w:pPr>
      <w:r>
        <w:rPr>
          <w:rFonts w:hint="eastAsia" w:ascii="宋体" w:hAnsi="宋体" w:cs="宋体"/>
          <w:highlight w:val="none"/>
        </w:rPr>
        <w:t>投标人每月结束后的10个工作日内，向采购人提供《月度服务总结</w:t>
      </w:r>
      <w:r>
        <w:rPr>
          <w:rFonts w:hint="eastAsia" w:ascii="宋体" w:hAnsi="宋体" w:cs="宋体"/>
          <w:highlight w:val="none"/>
          <w:lang w:eastAsia="zh-CN"/>
        </w:rPr>
        <w:t>报告</w:t>
      </w:r>
      <w:r>
        <w:rPr>
          <w:rFonts w:hint="eastAsia" w:ascii="宋体" w:hAnsi="宋体" w:cs="宋体"/>
          <w:highlight w:val="none"/>
        </w:rPr>
        <w:t>》，以便采购人全面准确的了解维保服务实施情况。</w:t>
      </w:r>
    </w:p>
    <w:p>
      <w:pPr>
        <w:pStyle w:val="7"/>
        <w:spacing w:line="360" w:lineRule="auto"/>
        <w:ind w:left="0" w:leftChars="0" w:firstLine="480"/>
        <w:jc w:val="left"/>
        <w:rPr>
          <w:rFonts w:hint="eastAsia" w:ascii="宋体" w:hAnsi="宋体" w:cs="宋体"/>
          <w:highlight w:val="none"/>
        </w:rPr>
      </w:pPr>
      <w:r>
        <w:rPr>
          <w:rFonts w:hint="eastAsia" w:ascii="宋体" w:hAnsi="宋体" w:cs="宋体"/>
          <w:highlight w:val="none"/>
        </w:rPr>
        <w:t>《月度服务总结》内容包括但不限于以下内容：</w:t>
      </w:r>
    </w:p>
    <w:p>
      <w:pPr>
        <w:pStyle w:val="7"/>
        <w:spacing w:line="360" w:lineRule="auto"/>
        <w:ind w:left="0" w:leftChars="0" w:firstLine="480"/>
        <w:jc w:val="left"/>
        <w:rPr>
          <w:rFonts w:hint="eastAsia" w:ascii="宋体" w:hAnsi="宋体" w:cs="宋体"/>
          <w:highlight w:val="none"/>
        </w:rPr>
      </w:pPr>
      <w:r>
        <w:rPr>
          <w:rFonts w:hint="eastAsia" w:ascii="宋体" w:hAnsi="宋体" w:cs="宋体"/>
          <w:highlight w:val="none"/>
        </w:rPr>
        <w:t>（1）服务情况的总结。对上个月度的</w:t>
      </w:r>
      <w:r>
        <w:rPr>
          <w:rFonts w:hint="eastAsia" w:ascii="宋体" w:hAnsi="宋体" w:cs="宋体"/>
          <w:highlight w:val="none"/>
          <w:lang w:eastAsia="zh-CN"/>
        </w:rPr>
        <w:t>所提供服务</w:t>
      </w:r>
      <w:r>
        <w:rPr>
          <w:rFonts w:hint="eastAsia" w:ascii="宋体" w:hAnsi="宋体" w:cs="宋体"/>
          <w:highlight w:val="none"/>
        </w:rPr>
        <w:t>整体运行情况进行总结，统计</w:t>
      </w:r>
      <w:r>
        <w:rPr>
          <w:rFonts w:hint="eastAsia" w:ascii="宋体" w:hAnsi="宋体" w:cs="宋体"/>
          <w:highlight w:val="none"/>
          <w:lang w:eastAsia="zh-CN"/>
        </w:rPr>
        <w:t>服务内容开展情况及云资源利用率</w:t>
      </w:r>
      <w:r>
        <w:rPr>
          <w:rFonts w:hint="eastAsia" w:ascii="宋体" w:hAnsi="宋体" w:cs="宋体"/>
          <w:highlight w:val="none"/>
        </w:rPr>
        <w:t>；评估</w:t>
      </w:r>
      <w:r>
        <w:rPr>
          <w:rFonts w:hint="eastAsia" w:ascii="宋体" w:hAnsi="宋体" w:cs="宋体"/>
          <w:highlight w:val="none"/>
          <w:lang w:eastAsia="zh-CN"/>
        </w:rPr>
        <w:t>每项服务</w:t>
      </w:r>
      <w:r>
        <w:rPr>
          <w:rFonts w:hint="eastAsia" w:ascii="宋体" w:hAnsi="宋体" w:cs="宋体"/>
          <w:highlight w:val="none"/>
        </w:rPr>
        <w:t>的</w:t>
      </w:r>
      <w:r>
        <w:rPr>
          <w:rFonts w:hint="eastAsia" w:ascii="宋体" w:hAnsi="宋体" w:cs="宋体"/>
          <w:highlight w:val="none"/>
          <w:lang w:eastAsia="zh-CN"/>
        </w:rPr>
        <w:t>开展</w:t>
      </w:r>
      <w:r>
        <w:rPr>
          <w:rFonts w:hint="eastAsia" w:ascii="宋体" w:hAnsi="宋体" w:cs="宋体"/>
          <w:highlight w:val="none"/>
        </w:rPr>
        <w:t>效果；总结分析遗留问题处理情况。</w:t>
      </w:r>
    </w:p>
    <w:p>
      <w:pPr>
        <w:pStyle w:val="7"/>
        <w:spacing w:line="360" w:lineRule="auto"/>
        <w:ind w:left="0" w:leftChars="0" w:firstLine="48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故障统计及分析</w:t>
      </w:r>
      <w:r>
        <w:rPr>
          <w:rFonts w:hint="eastAsia" w:ascii="宋体" w:hAnsi="宋体" w:cs="宋体"/>
          <w:highlight w:val="none"/>
        </w:rPr>
        <w:t>。对</w:t>
      </w:r>
      <w:r>
        <w:rPr>
          <w:rFonts w:hint="eastAsia" w:ascii="宋体" w:hAnsi="宋体" w:cs="宋体"/>
          <w:highlight w:val="none"/>
          <w:lang w:eastAsia="zh-CN"/>
        </w:rPr>
        <w:t>本月所提供服务范围内发生的</w:t>
      </w:r>
      <w:r>
        <w:rPr>
          <w:rFonts w:hint="eastAsia" w:ascii="宋体" w:hAnsi="宋体" w:cs="宋体"/>
          <w:highlight w:val="none"/>
        </w:rPr>
        <w:t>故障</w:t>
      </w:r>
      <w:r>
        <w:rPr>
          <w:rFonts w:hint="eastAsia" w:ascii="宋体" w:hAnsi="宋体" w:cs="宋体"/>
          <w:highlight w:val="none"/>
          <w:lang w:eastAsia="zh-CN"/>
        </w:rPr>
        <w:t>进行统计分析，对故障</w:t>
      </w:r>
      <w:r>
        <w:rPr>
          <w:rFonts w:hint="eastAsia" w:ascii="宋体" w:hAnsi="宋体" w:cs="宋体"/>
          <w:highlight w:val="none"/>
        </w:rPr>
        <w:t>的发生原因、处理过程和处理结果进行详细说明，并给出预防该类故障再次发生的建议；</w:t>
      </w:r>
    </w:p>
    <w:p>
      <w:r>
        <w:rPr>
          <w:rFonts w:hint="eastAsia" w:ascii="宋体" w:hAnsi="宋体" w:eastAsia="宋体" w:cs="宋体"/>
          <w:highlight w:val="none"/>
        </w:rPr>
        <w:t>（3）计划执行分析。分析</w:t>
      </w:r>
      <w:r>
        <w:rPr>
          <w:rFonts w:hint="eastAsia" w:ascii="宋体" w:hAnsi="宋体" w:eastAsia="宋体" w:cs="宋体"/>
          <w:highlight w:val="none"/>
          <w:lang w:eastAsia="zh-CN"/>
        </w:rPr>
        <w:t>项目</w:t>
      </w:r>
      <w:r>
        <w:rPr>
          <w:rFonts w:hint="eastAsia" w:ascii="宋体" w:hAnsi="宋体" w:eastAsia="宋体" w:cs="宋体"/>
          <w:highlight w:val="none"/>
        </w:rPr>
        <w:t>计划执行情况，对计划未执行项或未按时执行项进行原因分析，分析隐含问题。当出现服务质量问题，需提出分析报告和整改措施。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DFF28F4"/>
    <w:multiLevelType w:val="singleLevel"/>
    <w:tmpl w:val="6DFF28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6E3F0F"/>
    <w:rsid w:val="5D64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6">
    <w:name w:val="List Paragraph"/>
    <w:basedOn w:val="1"/>
    <w:qFormat/>
    <w:uiPriority w:val="34"/>
    <w:pPr>
      <w:ind w:firstLine="420" w:firstLineChars="200"/>
    </w:pPr>
    <w:rPr>
      <w:rFonts w:ascii="Calibri" w:hAnsi="Calibri"/>
      <w:szCs w:val="22"/>
    </w:rPr>
  </w:style>
  <w:style w:type="paragraph" w:customStyle="1" w:styleId="7">
    <w:name w:val="+正文"/>
    <w:basedOn w:val="1"/>
    <w:qFormat/>
    <w:uiPriority w:val="0"/>
    <w:pPr>
      <w:spacing w:after="0" w:line="288" w:lineRule="auto"/>
      <w:ind w:left="100" w:leftChars="100" w:firstLine="200" w:firstLineChars="200"/>
    </w:pPr>
    <w:rPr>
      <w:sz w:val="24"/>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2025-12-24T00:58:20Z</dcterms:created>
  <dc:creator>user</dc:creator>
  <cp:lastModifiedBy>11</cp:lastModifiedBy>
  <dcterms:modified xsi:type="dcterms:W3CDTF">2025-12-24T01:03:01Z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